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63021A" w:rsidP="0063021A">
      <w:pPr>
        <w:pStyle w:val="Title"/>
      </w:pPr>
      <w:r w:rsidRPr="004D349D">
        <w:rPr>
          <w:noProof/>
          <w:lang w:eastAsia="cs-CZ"/>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563EBF" w:rsidRDefault="00563EBF" w:rsidP="00F51B25">
                            <w:pPr>
                              <w:spacing w:after="0"/>
                              <w:rPr>
                                <w:rFonts w:asciiTheme="majorHAnsi" w:hAnsiTheme="majorHAnsi" w:cstheme="majorHAnsi"/>
                                <w:sz w:val="24"/>
                                <w:szCs w:val="24"/>
                              </w:rPr>
                            </w:pPr>
                            <w:r w:rsidRPr="00563EBF">
                              <w:rPr>
                                <w:rFonts w:asciiTheme="majorHAnsi" w:hAnsiTheme="majorHAnsi" w:cstheme="majorHAnsi"/>
                                <w:sz w:val="24"/>
                                <w:szCs w:val="24"/>
                              </w:rPr>
                              <w:t xml:space="preserve">Pedagogická fakulta | Žižkovo náměstí 951/5, </w:t>
                            </w:r>
                            <w:r w:rsidR="00F51B25" w:rsidRPr="00563EBF">
                              <w:rPr>
                                <w:rFonts w:asciiTheme="majorHAnsi" w:hAnsiTheme="majorHAnsi" w:cstheme="majorHAnsi"/>
                                <w:sz w:val="24"/>
                                <w:szCs w:val="24"/>
                              </w:rPr>
                              <w:t>7</w:t>
                            </w:r>
                            <w:r w:rsidRPr="00563EBF">
                              <w:rPr>
                                <w:rFonts w:asciiTheme="majorHAnsi" w:hAnsiTheme="majorHAnsi" w:cstheme="majorHAnsi"/>
                                <w:sz w:val="24"/>
                                <w:szCs w:val="24"/>
                              </w:rPr>
                              <w:t>71 40</w:t>
                            </w:r>
                            <w:r w:rsidR="00F51B25" w:rsidRPr="00563EBF">
                              <w:rPr>
                                <w:rFonts w:asciiTheme="majorHAnsi" w:hAnsiTheme="majorHAnsi" w:cstheme="majorHAnsi"/>
                                <w:sz w:val="24"/>
                                <w:szCs w:val="24"/>
                              </w:rPr>
                              <w:t xml:space="preserve"> Olomouc</w:t>
                            </w:r>
                            <w:r w:rsidR="00413695" w:rsidRPr="00563EBF">
                              <w:rPr>
                                <w:rFonts w:asciiTheme="majorHAnsi" w:hAnsiTheme="majorHAnsi" w:cstheme="majorHAnsi"/>
                                <w:sz w:val="24"/>
                                <w:szCs w:val="24"/>
                              </w:rPr>
                              <w:t xml:space="preserve"> | </w:t>
                            </w:r>
                            <w:r w:rsidR="00F51B25" w:rsidRPr="00563EBF">
                              <w:rPr>
                                <w:rFonts w:asciiTheme="majorHAnsi" w:hAnsiTheme="majorHAnsi" w:cstheme="majorHAnsi"/>
                                <w:sz w:val="24"/>
                                <w:szCs w:val="24"/>
                              </w:rPr>
                              <w:t>GPS</w:t>
                            </w:r>
                            <w:r w:rsidR="00413695" w:rsidRPr="00563EBF">
                              <w:rPr>
                                <w:rFonts w:asciiTheme="majorHAnsi" w:hAnsiTheme="majorHAnsi" w:cstheme="majorHAnsi"/>
                                <w:sz w:val="24"/>
                                <w:szCs w:val="24"/>
                              </w:rPr>
                              <w:t xml:space="preserve"> </w:t>
                            </w:r>
                            <w:r w:rsidRPr="00563EBF">
                              <w:rPr>
                                <w:rFonts w:asciiTheme="majorHAnsi" w:hAnsiTheme="majorHAnsi" w:cstheme="majorHAnsi"/>
                                <w:sz w:val="24"/>
                                <w:szCs w:val="24"/>
                              </w:rPr>
                              <w:t>N 49°35.74262′, E 17°15.87867′</w:t>
                            </w:r>
                          </w:p>
                          <w:p w:rsidR="00413695" w:rsidRPr="00563EBF" w:rsidRDefault="00F51B25" w:rsidP="00413695">
                            <w:pPr>
                              <w:pStyle w:val="NoSpacing"/>
                              <w:rPr>
                                <w:rFonts w:asciiTheme="majorHAnsi" w:hAnsiTheme="majorHAnsi" w:cstheme="majorHAnsi"/>
                                <w:sz w:val="24"/>
                                <w:szCs w:val="24"/>
                              </w:rPr>
                            </w:pPr>
                            <w:r w:rsidRPr="00563EBF">
                              <w:rPr>
                                <w:rFonts w:asciiTheme="majorHAnsi" w:hAnsiTheme="majorHAnsi" w:cstheme="majorHAnsi"/>
                                <w:sz w:val="24"/>
                                <w:szCs w:val="24"/>
                              </w:rPr>
                              <w:t xml:space="preserve">tel: </w:t>
                            </w:r>
                            <w:r w:rsidR="00563EBF" w:rsidRPr="00563EBF">
                              <w:rPr>
                                <w:rFonts w:asciiTheme="majorHAnsi" w:hAnsiTheme="majorHAnsi" w:cstheme="majorHAnsi"/>
                                <w:sz w:val="24"/>
                                <w:szCs w:val="24"/>
                              </w:rPr>
                              <w:t>+420 585 635 099</w:t>
                            </w:r>
                            <w:r w:rsidRPr="00563EBF">
                              <w:rPr>
                                <w:rFonts w:asciiTheme="majorHAnsi" w:hAnsiTheme="majorHAnsi" w:cstheme="majorHAnsi"/>
                                <w:sz w:val="24"/>
                                <w:szCs w:val="24"/>
                              </w:rPr>
                              <w:t>|</w:t>
                            </w:r>
                            <w:r w:rsidR="002F754E" w:rsidRPr="00563EBF">
                              <w:rPr>
                                <w:rFonts w:asciiTheme="majorHAnsi" w:hAnsiTheme="majorHAnsi" w:cstheme="majorHAnsi"/>
                                <w:sz w:val="24"/>
                                <w:szCs w:val="24"/>
                              </w:rPr>
                              <w:t xml:space="preserve"> </w:t>
                            </w:r>
                            <w:r w:rsidR="005D1988" w:rsidRPr="00563EBF">
                              <w:rPr>
                                <w:rFonts w:asciiTheme="majorHAnsi" w:hAnsiTheme="majorHAnsi" w:cstheme="majorHAnsi"/>
                                <w:sz w:val="24"/>
                                <w:szCs w:val="24"/>
                              </w:rPr>
                              <w:t>www</w:t>
                            </w:r>
                            <w:r w:rsidR="00563EBF" w:rsidRPr="00563EBF">
                              <w:rPr>
                                <w:rFonts w:asciiTheme="majorHAnsi" w:hAnsiTheme="majorHAnsi" w:cstheme="majorHAnsi"/>
                                <w:sz w:val="24"/>
                                <w:szCs w:val="24"/>
                              </w:rPr>
                              <w:t>.pdf.u</w:t>
                            </w:r>
                            <w:r w:rsidR="00A363B3">
                              <w:rPr>
                                <w:rFonts w:asciiTheme="majorHAnsi" w:hAnsiTheme="majorHAnsi" w:cstheme="majorHAnsi"/>
                                <w:sz w:val="24"/>
                                <w:szCs w:val="24"/>
                              </w:rPr>
                              <w:t>p</w:t>
                            </w:r>
                            <w:r w:rsidR="00563EBF" w:rsidRPr="00563EBF">
                              <w:rPr>
                                <w:rFonts w:asciiTheme="majorHAnsi" w:hAnsiTheme="majorHAnsi" w:cstheme="majorHAnsi"/>
                                <w:sz w:val="24"/>
                                <w:szCs w:val="24"/>
                              </w:rPr>
                              <w:t>o</w:t>
                            </w:r>
                            <w:bookmarkStart w:id="0" w:name="_GoBack"/>
                            <w:bookmarkEnd w:id="0"/>
                            <w:r w:rsidR="00563EBF" w:rsidRPr="00563EBF">
                              <w:rPr>
                                <w:rFonts w:asciiTheme="majorHAnsi" w:hAnsiTheme="majorHAnsi" w:cstheme="majorHAnsi"/>
                                <w:sz w:val="24"/>
                                <w:szCs w:val="24"/>
                              </w:rPr>
                              <w:t>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563EBF" w:rsidRDefault="00563EBF" w:rsidP="00F51B25">
                      <w:pPr>
                        <w:spacing w:after="0"/>
                        <w:rPr>
                          <w:rFonts w:asciiTheme="majorHAnsi" w:hAnsiTheme="majorHAnsi" w:cstheme="majorHAnsi"/>
                          <w:sz w:val="24"/>
                          <w:szCs w:val="24"/>
                        </w:rPr>
                      </w:pPr>
                      <w:r w:rsidRPr="00563EBF">
                        <w:rPr>
                          <w:rFonts w:asciiTheme="majorHAnsi" w:hAnsiTheme="majorHAnsi" w:cstheme="majorHAnsi"/>
                          <w:sz w:val="24"/>
                          <w:szCs w:val="24"/>
                        </w:rPr>
                        <w:t xml:space="preserve">Pedagogická fakulta | Žižkovo náměstí 951/5, </w:t>
                      </w:r>
                      <w:r w:rsidR="00F51B25" w:rsidRPr="00563EBF">
                        <w:rPr>
                          <w:rFonts w:asciiTheme="majorHAnsi" w:hAnsiTheme="majorHAnsi" w:cstheme="majorHAnsi"/>
                          <w:sz w:val="24"/>
                          <w:szCs w:val="24"/>
                        </w:rPr>
                        <w:t>7</w:t>
                      </w:r>
                      <w:r w:rsidRPr="00563EBF">
                        <w:rPr>
                          <w:rFonts w:asciiTheme="majorHAnsi" w:hAnsiTheme="majorHAnsi" w:cstheme="majorHAnsi"/>
                          <w:sz w:val="24"/>
                          <w:szCs w:val="24"/>
                        </w:rPr>
                        <w:t>71 40</w:t>
                      </w:r>
                      <w:r w:rsidR="00F51B25" w:rsidRPr="00563EBF">
                        <w:rPr>
                          <w:rFonts w:asciiTheme="majorHAnsi" w:hAnsiTheme="majorHAnsi" w:cstheme="majorHAnsi"/>
                          <w:sz w:val="24"/>
                          <w:szCs w:val="24"/>
                        </w:rPr>
                        <w:t xml:space="preserve"> Olomouc</w:t>
                      </w:r>
                      <w:r w:rsidR="00413695" w:rsidRPr="00563EBF">
                        <w:rPr>
                          <w:rFonts w:asciiTheme="majorHAnsi" w:hAnsiTheme="majorHAnsi" w:cstheme="majorHAnsi"/>
                          <w:sz w:val="24"/>
                          <w:szCs w:val="24"/>
                        </w:rPr>
                        <w:t xml:space="preserve"> | </w:t>
                      </w:r>
                      <w:r w:rsidR="00F51B25" w:rsidRPr="00563EBF">
                        <w:rPr>
                          <w:rFonts w:asciiTheme="majorHAnsi" w:hAnsiTheme="majorHAnsi" w:cstheme="majorHAnsi"/>
                          <w:sz w:val="24"/>
                          <w:szCs w:val="24"/>
                        </w:rPr>
                        <w:t>GPS</w:t>
                      </w:r>
                      <w:r w:rsidR="00413695" w:rsidRPr="00563EBF">
                        <w:rPr>
                          <w:rFonts w:asciiTheme="majorHAnsi" w:hAnsiTheme="majorHAnsi" w:cstheme="majorHAnsi"/>
                          <w:sz w:val="24"/>
                          <w:szCs w:val="24"/>
                        </w:rPr>
                        <w:t xml:space="preserve"> </w:t>
                      </w:r>
                      <w:r w:rsidRPr="00563EBF">
                        <w:rPr>
                          <w:rFonts w:asciiTheme="majorHAnsi" w:hAnsiTheme="majorHAnsi" w:cstheme="majorHAnsi"/>
                          <w:sz w:val="24"/>
                          <w:szCs w:val="24"/>
                        </w:rPr>
                        <w:t>N 49°35.74262′, E 17°15.87867′</w:t>
                      </w:r>
                    </w:p>
                    <w:p w:rsidR="00413695" w:rsidRPr="00563EBF" w:rsidRDefault="00F51B25" w:rsidP="00413695">
                      <w:pPr>
                        <w:pStyle w:val="NoSpacing"/>
                        <w:rPr>
                          <w:rFonts w:asciiTheme="majorHAnsi" w:hAnsiTheme="majorHAnsi" w:cstheme="majorHAnsi"/>
                          <w:sz w:val="24"/>
                          <w:szCs w:val="24"/>
                        </w:rPr>
                      </w:pPr>
                      <w:r w:rsidRPr="00563EBF">
                        <w:rPr>
                          <w:rFonts w:asciiTheme="majorHAnsi" w:hAnsiTheme="majorHAnsi" w:cstheme="majorHAnsi"/>
                          <w:sz w:val="24"/>
                          <w:szCs w:val="24"/>
                        </w:rPr>
                        <w:t xml:space="preserve">tel: </w:t>
                      </w:r>
                      <w:r w:rsidR="00563EBF" w:rsidRPr="00563EBF">
                        <w:rPr>
                          <w:rFonts w:asciiTheme="majorHAnsi" w:hAnsiTheme="majorHAnsi" w:cstheme="majorHAnsi"/>
                          <w:sz w:val="24"/>
                          <w:szCs w:val="24"/>
                        </w:rPr>
                        <w:t>+420 585 635 099</w:t>
                      </w:r>
                      <w:r w:rsidRPr="00563EBF">
                        <w:rPr>
                          <w:rFonts w:asciiTheme="majorHAnsi" w:hAnsiTheme="majorHAnsi" w:cstheme="majorHAnsi"/>
                          <w:sz w:val="24"/>
                          <w:szCs w:val="24"/>
                        </w:rPr>
                        <w:t>|</w:t>
                      </w:r>
                      <w:r w:rsidR="002F754E" w:rsidRPr="00563EBF">
                        <w:rPr>
                          <w:rFonts w:asciiTheme="majorHAnsi" w:hAnsiTheme="majorHAnsi" w:cstheme="majorHAnsi"/>
                          <w:sz w:val="24"/>
                          <w:szCs w:val="24"/>
                        </w:rPr>
                        <w:t xml:space="preserve"> </w:t>
                      </w:r>
                      <w:r w:rsidR="005D1988" w:rsidRPr="00563EBF">
                        <w:rPr>
                          <w:rFonts w:asciiTheme="majorHAnsi" w:hAnsiTheme="majorHAnsi" w:cstheme="majorHAnsi"/>
                          <w:sz w:val="24"/>
                          <w:szCs w:val="24"/>
                        </w:rPr>
                        <w:t>www</w:t>
                      </w:r>
                      <w:r w:rsidR="00563EBF" w:rsidRPr="00563EBF">
                        <w:rPr>
                          <w:rFonts w:asciiTheme="majorHAnsi" w:hAnsiTheme="majorHAnsi" w:cstheme="majorHAnsi"/>
                          <w:sz w:val="24"/>
                          <w:szCs w:val="24"/>
                        </w:rPr>
                        <w:t>.pdf.u</w:t>
                      </w:r>
                      <w:r w:rsidR="00A363B3">
                        <w:rPr>
                          <w:rFonts w:asciiTheme="majorHAnsi" w:hAnsiTheme="majorHAnsi" w:cstheme="majorHAnsi"/>
                          <w:sz w:val="24"/>
                          <w:szCs w:val="24"/>
                        </w:rPr>
                        <w:t>p</w:t>
                      </w:r>
                      <w:r w:rsidR="00563EBF" w:rsidRPr="00563EBF">
                        <w:rPr>
                          <w:rFonts w:asciiTheme="majorHAnsi" w:hAnsiTheme="majorHAnsi" w:cstheme="majorHAnsi"/>
                          <w:sz w:val="24"/>
                          <w:szCs w:val="24"/>
                        </w:rPr>
                        <w:t>o</w:t>
                      </w:r>
                      <w:bookmarkStart w:id="1" w:name="_GoBack"/>
                      <w:bookmarkEnd w:id="1"/>
                      <w:r w:rsidR="00563EBF" w:rsidRPr="00563EBF">
                        <w:rPr>
                          <w:rFonts w:asciiTheme="majorHAnsi" w:hAnsiTheme="majorHAnsi" w:cstheme="majorHAnsi"/>
                          <w:sz w:val="24"/>
                          <w:szCs w:val="24"/>
                        </w:rPr>
                        <w:t>l.cz</w:t>
                      </w:r>
                    </w:p>
                    <w:p w:rsidR="00413695" w:rsidRDefault="00413695" w:rsidP="00413695">
                      <w:pPr>
                        <w:jc w:val="center"/>
                      </w:pP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Default="0063021A" w:rsidP="0063021A">
                            <w:pPr>
                              <w:pStyle w:val="NoSpacing"/>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563EBF">
                              <w:rPr>
                                <w:rFonts w:asciiTheme="majorHAnsi" w:hAnsiTheme="majorHAnsi" w:cstheme="majorHAnsi"/>
                                <w:sz w:val="60"/>
                                <w:szCs w:val="60"/>
                              </w:rPr>
                              <w:t>Pedagogická fakulta</w:t>
                            </w:r>
                          </w:p>
                          <w:p w:rsidR="00563EBF" w:rsidRPr="007A6902" w:rsidRDefault="00563EBF" w:rsidP="0063021A">
                            <w:pPr>
                              <w:pStyle w:val="NoSpacing"/>
                              <w:jc w:val="center"/>
                              <w:rPr>
                                <w:rFonts w:asciiTheme="majorHAnsi" w:hAnsiTheme="majorHAnsi" w:cstheme="majorHAnsi"/>
                                <w:b/>
                                <w:sz w:val="60"/>
                                <w:szCs w:val="60"/>
                              </w:rPr>
                            </w:pPr>
                            <w:r>
                              <w:rPr>
                                <w:rFonts w:asciiTheme="majorHAnsi" w:hAnsiTheme="majorHAnsi" w:cstheme="majorHAnsi"/>
                                <w:sz w:val="60"/>
                                <w:szCs w:val="60"/>
                              </w:rPr>
                              <w:t>Žižkovo náměstí 951/5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Default="0063021A" w:rsidP="0063021A">
                      <w:pPr>
                        <w:pStyle w:val="NoSpacing"/>
                        <w:jc w:val="center"/>
                        <w:rPr>
                          <w:rFonts w:asciiTheme="majorHAnsi" w:hAnsiTheme="majorHAnsi" w:cstheme="majorHAnsi"/>
                          <w:sz w:val="60"/>
                          <w:szCs w:val="60"/>
                        </w:rPr>
                      </w:pPr>
                      <w:r w:rsidRPr="007A6902">
                        <w:rPr>
                          <w:rFonts w:asciiTheme="majorHAnsi" w:hAnsiTheme="majorHAnsi" w:cstheme="majorHAnsi"/>
                          <w:sz w:val="60"/>
                          <w:szCs w:val="60"/>
                        </w:rPr>
                        <w:t xml:space="preserve">     </w:t>
                      </w:r>
                      <w:r w:rsidR="00563EBF">
                        <w:rPr>
                          <w:rFonts w:asciiTheme="majorHAnsi" w:hAnsiTheme="majorHAnsi" w:cstheme="majorHAnsi"/>
                          <w:sz w:val="60"/>
                          <w:szCs w:val="60"/>
                        </w:rPr>
                        <w:t>Pedagogická fakulta</w:t>
                      </w:r>
                    </w:p>
                    <w:p w:rsidR="00563EBF" w:rsidRPr="007A6902" w:rsidRDefault="00563EBF" w:rsidP="0063021A">
                      <w:pPr>
                        <w:pStyle w:val="NoSpacing"/>
                        <w:jc w:val="center"/>
                        <w:rPr>
                          <w:rFonts w:asciiTheme="majorHAnsi" w:hAnsiTheme="majorHAnsi" w:cstheme="majorHAnsi"/>
                          <w:b/>
                          <w:sz w:val="60"/>
                          <w:szCs w:val="60"/>
                        </w:rPr>
                      </w:pPr>
                      <w:r>
                        <w:rPr>
                          <w:rFonts w:asciiTheme="majorHAnsi" w:hAnsiTheme="majorHAnsi" w:cstheme="majorHAnsi"/>
                          <w:sz w:val="60"/>
                          <w:szCs w:val="60"/>
                        </w:rPr>
                        <w:t>Žižkovo náměstí 951/5</w:t>
                      </w:r>
                    </w:p>
                  </w:txbxContent>
                </v:textbox>
                <w10:wrap type="through" anchorx="margin"/>
              </v:roundrect>
            </w:pict>
          </mc:Fallback>
        </mc:AlternateContent>
      </w:r>
    </w:p>
    <w:tbl>
      <w:tblPr>
        <w:tblStyle w:val="TableGrid"/>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Title"/>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Heading1"/>
        <w:rPr>
          <w:b/>
        </w:rPr>
      </w:pPr>
      <w:r w:rsidRPr="00027CFF">
        <w:rPr>
          <w:b/>
        </w:rPr>
        <w:t xml:space="preserve">INTERIÉR A VSTUP </w:t>
      </w:r>
    </w:p>
    <w:p w:rsidR="00563EBF" w:rsidRPr="00563EBF" w:rsidRDefault="00563EBF" w:rsidP="00563EBF">
      <w:pPr>
        <w:spacing w:before="120" w:after="0" w:line="276" w:lineRule="auto"/>
        <w:jc w:val="both"/>
        <w:rPr>
          <w:rFonts w:asciiTheme="majorHAnsi" w:hAnsiTheme="majorHAnsi" w:cstheme="majorHAnsi"/>
          <w:sz w:val="24"/>
          <w:szCs w:val="24"/>
        </w:rPr>
      </w:pPr>
      <w:r w:rsidRPr="00563EBF">
        <w:rPr>
          <w:rFonts w:asciiTheme="majorHAnsi" w:hAnsiTheme="majorHAnsi" w:cstheme="majorHAnsi"/>
          <w:sz w:val="24"/>
          <w:szCs w:val="24"/>
        </w:rPr>
        <w:t xml:space="preserve">Hlavní vstup je situován ze strany ulice Žižkovo náměstí (zde umístěny i tramvajové zastávky) u sochy T. G. Masaryka. U hlavního vstupu se nachází vyhrazené parkovací místo. Parkovací místo najdeme </w:t>
      </w:r>
      <w:r w:rsidRPr="00563EBF">
        <w:rPr>
          <w:rFonts w:asciiTheme="majorHAnsi" w:hAnsiTheme="majorHAnsi" w:cstheme="majorHAnsi"/>
          <w:sz w:val="24"/>
          <w:szCs w:val="24"/>
        </w:rPr>
        <w:br/>
        <w:t xml:space="preserve">u schodišťové plošiny pod schody vedoucími k hlavnímu vstupu. </w:t>
      </w:r>
    </w:p>
    <w:p w:rsidR="00563EBF" w:rsidRPr="00563EBF" w:rsidRDefault="00563EBF" w:rsidP="00563EBF">
      <w:pPr>
        <w:spacing w:line="276" w:lineRule="auto"/>
        <w:ind w:firstLine="708"/>
        <w:jc w:val="both"/>
        <w:rPr>
          <w:rFonts w:asciiTheme="majorHAnsi" w:hAnsiTheme="majorHAnsi" w:cstheme="majorHAnsi"/>
          <w:sz w:val="24"/>
          <w:szCs w:val="24"/>
        </w:rPr>
      </w:pPr>
      <w:r w:rsidRPr="00563EBF">
        <w:rPr>
          <w:rFonts w:asciiTheme="majorHAnsi" w:hAnsiTheme="majorHAnsi" w:cstheme="majorHAnsi"/>
          <w:sz w:val="24"/>
          <w:szCs w:val="24"/>
        </w:rPr>
        <w:t xml:space="preserve">Nachází se zde plošina šikmá, uzamčená a bez zvonku (š. 86 cm, hloubka 120 cm, nosnost 225 kg). </w:t>
      </w:r>
      <w:r w:rsidRPr="00563EBF">
        <w:rPr>
          <w:rFonts w:asciiTheme="majorHAnsi" w:hAnsiTheme="majorHAnsi" w:cstheme="majorHAnsi"/>
          <w:sz w:val="24"/>
          <w:szCs w:val="24"/>
        </w:rPr>
        <w:br/>
        <w:t xml:space="preserve">U dolní nástupní plochy, vstupu a dojezdu je </w:t>
      </w:r>
      <w:r w:rsidR="008E5346">
        <w:rPr>
          <w:rFonts w:asciiTheme="majorHAnsi" w:hAnsiTheme="majorHAnsi" w:cstheme="majorHAnsi"/>
          <w:sz w:val="24"/>
          <w:szCs w:val="24"/>
        </w:rPr>
        <w:t xml:space="preserve">sklon </w:t>
      </w:r>
      <w:r w:rsidRPr="00563EBF">
        <w:rPr>
          <w:rStyle w:val="Zkladntext2"/>
          <w:rFonts w:asciiTheme="majorHAnsi" w:hAnsiTheme="majorHAnsi" w:cstheme="majorHAnsi"/>
          <w:sz w:val="24"/>
          <w:szCs w:val="24"/>
        </w:rPr>
        <w:t>46,63</w:t>
      </w:r>
      <w:r w:rsidR="008E5346">
        <w:rPr>
          <w:rStyle w:val="Zkladntext2"/>
          <w:rFonts w:asciiTheme="majorHAnsi" w:hAnsiTheme="majorHAnsi" w:cstheme="majorHAnsi"/>
          <w:sz w:val="24"/>
          <w:szCs w:val="24"/>
        </w:rPr>
        <w:t xml:space="preserve"> </w:t>
      </w:r>
      <w:r w:rsidRPr="00563EBF">
        <w:rPr>
          <w:rStyle w:val="Zkladntext2"/>
          <w:rFonts w:asciiTheme="majorHAnsi" w:hAnsiTheme="majorHAnsi" w:cstheme="majorHAnsi"/>
          <w:sz w:val="24"/>
          <w:szCs w:val="24"/>
        </w:rPr>
        <w:t>%</w:t>
      </w:r>
      <w:r w:rsidRPr="00563EBF">
        <w:rPr>
          <w:rFonts w:asciiTheme="majorHAnsi" w:hAnsiTheme="majorHAnsi" w:cstheme="majorHAnsi"/>
          <w:sz w:val="24"/>
          <w:szCs w:val="24"/>
        </w:rPr>
        <w:t xml:space="preserve"> a je tedy nutná pomoc. Nástup je čelní, rozměry nástupní plochy jsou dostatečně velké, bez překážek. Vstup na plošinu je zabezpečen zábranou </w:t>
      </w:r>
      <w:r w:rsidRPr="00563EBF">
        <w:rPr>
          <w:rFonts w:asciiTheme="majorHAnsi" w:hAnsiTheme="majorHAnsi" w:cstheme="majorHAnsi"/>
          <w:sz w:val="24"/>
          <w:szCs w:val="24"/>
        </w:rPr>
        <w:br/>
        <w:t xml:space="preserve">(š. </w:t>
      </w:r>
      <w:proofErr w:type="gramStart"/>
      <w:r w:rsidRPr="00563EBF">
        <w:rPr>
          <w:rFonts w:asciiTheme="majorHAnsi" w:hAnsiTheme="majorHAnsi" w:cstheme="majorHAnsi"/>
          <w:sz w:val="24"/>
          <w:szCs w:val="24"/>
        </w:rPr>
        <w:t>vstupu</w:t>
      </w:r>
      <w:proofErr w:type="gramEnd"/>
      <w:r w:rsidRPr="00563EBF">
        <w:rPr>
          <w:rFonts w:asciiTheme="majorHAnsi" w:hAnsiTheme="majorHAnsi" w:cstheme="majorHAnsi"/>
          <w:sz w:val="24"/>
          <w:szCs w:val="24"/>
        </w:rPr>
        <w:t xml:space="preserve"> 86 cm, v. převýšení mezi podlahou plošiny a nástupištěm 7 cm). U horní nástupní plochy, vstupu a dojezdu je nástup čelní, rozměry nástupní plochy jsou dostatečně velké, bez překážek. Výška převýšení mezi podlahou plošiny a nástupištěm je 2</w:t>
      </w:r>
      <w:r w:rsidR="008E5346">
        <w:rPr>
          <w:rFonts w:asciiTheme="majorHAnsi" w:hAnsiTheme="majorHAnsi" w:cstheme="majorHAnsi"/>
          <w:sz w:val="24"/>
          <w:szCs w:val="24"/>
        </w:rPr>
        <w:t xml:space="preserve"> </w:t>
      </w:r>
      <w:r w:rsidRPr="00563EBF">
        <w:rPr>
          <w:rFonts w:asciiTheme="majorHAnsi" w:hAnsiTheme="majorHAnsi" w:cstheme="majorHAnsi"/>
          <w:sz w:val="24"/>
          <w:szCs w:val="24"/>
        </w:rPr>
        <w:t>cm. Zvonek schází. Plošina překonává 7 schodů. O</w:t>
      </w:r>
      <w:r w:rsidR="008E5346">
        <w:rPr>
          <w:rFonts w:asciiTheme="majorHAnsi" w:hAnsiTheme="majorHAnsi" w:cstheme="majorHAnsi"/>
          <w:sz w:val="24"/>
          <w:szCs w:val="24"/>
        </w:rPr>
        <w:t xml:space="preserve">vladače jsou dole na plošině (výška 68 cm na střed, vně plošiny nahoře 96 cm na střed, uvnitř plošiny 81 cm </w:t>
      </w:r>
      <w:r w:rsidRPr="00563EBF">
        <w:rPr>
          <w:rFonts w:asciiTheme="majorHAnsi" w:hAnsiTheme="majorHAnsi" w:cstheme="majorHAnsi"/>
          <w:sz w:val="24"/>
          <w:szCs w:val="24"/>
        </w:rPr>
        <w:t>na stř</w:t>
      </w:r>
      <w:r w:rsidR="008E5346">
        <w:rPr>
          <w:rFonts w:asciiTheme="majorHAnsi" w:hAnsiTheme="majorHAnsi" w:cstheme="majorHAnsi"/>
          <w:sz w:val="24"/>
          <w:szCs w:val="24"/>
        </w:rPr>
        <w:t>ed</w:t>
      </w:r>
      <w:r w:rsidRPr="00563EBF">
        <w:rPr>
          <w:rFonts w:asciiTheme="majorHAnsi" w:hAnsiTheme="majorHAnsi" w:cstheme="majorHAnsi"/>
          <w:sz w:val="24"/>
          <w:szCs w:val="24"/>
        </w:rPr>
        <w:t>).</w:t>
      </w:r>
    </w:p>
    <w:p w:rsidR="00563EBF" w:rsidRPr="00563EBF" w:rsidRDefault="00563EBF" w:rsidP="00563EBF">
      <w:pPr>
        <w:spacing w:line="276" w:lineRule="auto"/>
        <w:ind w:firstLine="708"/>
        <w:jc w:val="both"/>
        <w:rPr>
          <w:rFonts w:asciiTheme="majorHAnsi" w:hAnsiTheme="majorHAnsi" w:cstheme="majorHAnsi"/>
          <w:sz w:val="24"/>
          <w:szCs w:val="24"/>
        </w:rPr>
      </w:pPr>
      <w:r w:rsidRPr="00563EBF">
        <w:rPr>
          <w:rFonts w:asciiTheme="majorHAnsi" w:hAnsiTheme="majorHAnsi" w:cstheme="majorHAnsi"/>
          <w:sz w:val="24"/>
          <w:szCs w:val="24"/>
        </w:rPr>
        <w:t xml:space="preserve">Povrch parkoviště a okolí budovy je obtížný (hrubá historická dlažba). Sklon povrchu je </w:t>
      </w:r>
      <w:r w:rsidRPr="00563EBF">
        <w:rPr>
          <w:rStyle w:val="Zkladntext2"/>
          <w:rFonts w:asciiTheme="majorHAnsi" w:hAnsiTheme="majorHAnsi" w:cstheme="majorHAnsi"/>
          <w:sz w:val="24"/>
          <w:szCs w:val="24"/>
        </w:rPr>
        <w:t>8,75</w:t>
      </w:r>
      <w:r w:rsidR="008E5346">
        <w:rPr>
          <w:rStyle w:val="Zkladntext2"/>
          <w:rFonts w:asciiTheme="majorHAnsi" w:hAnsiTheme="majorHAnsi" w:cstheme="majorHAnsi"/>
          <w:sz w:val="24"/>
          <w:szCs w:val="24"/>
        </w:rPr>
        <w:t xml:space="preserve"> </w:t>
      </w:r>
      <w:r w:rsidRPr="00563EBF">
        <w:rPr>
          <w:rStyle w:val="Zkladntext2"/>
          <w:rFonts w:asciiTheme="majorHAnsi" w:hAnsiTheme="majorHAnsi" w:cstheme="majorHAnsi"/>
          <w:sz w:val="24"/>
          <w:szCs w:val="24"/>
        </w:rPr>
        <w:t>%</w:t>
      </w:r>
      <w:r w:rsidRPr="00563EBF">
        <w:rPr>
          <w:rFonts w:asciiTheme="majorHAnsi" w:hAnsiTheme="majorHAnsi" w:cstheme="majorHAnsi"/>
          <w:sz w:val="24"/>
          <w:szCs w:val="24"/>
        </w:rPr>
        <w:t>, podélný a vod</w:t>
      </w:r>
      <w:r w:rsidR="008E5346">
        <w:rPr>
          <w:rFonts w:asciiTheme="majorHAnsi" w:hAnsiTheme="majorHAnsi" w:cstheme="majorHAnsi"/>
          <w:sz w:val="24"/>
          <w:szCs w:val="24"/>
        </w:rPr>
        <w:t>i</w:t>
      </w:r>
      <w:r w:rsidRPr="00563EBF">
        <w:rPr>
          <w:rFonts w:asciiTheme="majorHAnsi" w:hAnsiTheme="majorHAnsi" w:cstheme="majorHAnsi"/>
          <w:sz w:val="24"/>
          <w:szCs w:val="24"/>
        </w:rPr>
        <w:t xml:space="preserve">cí linie zde úplně chybí. Před hlavním vchodem se nachází 7 schodů. Je zde umístěn nájezd (sklon </w:t>
      </w:r>
      <w:r w:rsidR="008E5346">
        <w:rPr>
          <w:rStyle w:val="Zkladntext2"/>
          <w:rFonts w:asciiTheme="majorHAnsi" w:hAnsiTheme="majorHAnsi" w:cstheme="majorHAnsi"/>
          <w:sz w:val="24"/>
          <w:szCs w:val="24"/>
        </w:rPr>
        <w:t>32,49 </w:t>
      </w:r>
      <w:r w:rsidRPr="00563EBF">
        <w:rPr>
          <w:rStyle w:val="Zkladntext2"/>
          <w:rFonts w:asciiTheme="majorHAnsi" w:hAnsiTheme="majorHAnsi" w:cstheme="majorHAnsi"/>
          <w:sz w:val="24"/>
          <w:szCs w:val="24"/>
        </w:rPr>
        <w:t xml:space="preserve">%, délka 20 cm) bez pomoci </w:t>
      </w:r>
      <w:r w:rsidR="008E5346">
        <w:rPr>
          <w:rStyle w:val="Zkladntext2"/>
          <w:rFonts w:asciiTheme="majorHAnsi" w:hAnsiTheme="majorHAnsi" w:cstheme="majorHAnsi"/>
          <w:sz w:val="24"/>
          <w:szCs w:val="24"/>
        </w:rPr>
        <w:t xml:space="preserve">asistenta </w:t>
      </w:r>
      <w:r w:rsidRPr="00563EBF">
        <w:rPr>
          <w:rStyle w:val="Zkladntext2"/>
          <w:rFonts w:asciiTheme="majorHAnsi" w:hAnsiTheme="majorHAnsi" w:cstheme="majorHAnsi"/>
          <w:sz w:val="24"/>
          <w:szCs w:val="24"/>
        </w:rPr>
        <w:t>se nedá pře</w:t>
      </w:r>
      <w:r w:rsidR="008E5346">
        <w:rPr>
          <w:rStyle w:val="Zkladntext2"/>
          <w:rFonts w:asciiTheme="majorHAnsi" w:hAnsiTheme="majorHAnsi" w:cstheme="majorHAnsi"/>
          <w:sz w:val="24"/>
          <w:szCs w:val="24"/>
        </w:rPr>
        <w:t>konat</w:t>
      </w:r>
      <w:r w:rsidRPr="00563EBF">
        <w:rPr>
          <w:rStyle w:val="Zkladntext2"/>
          <w:rFonts w:asciiTheme="majorHAnsi" w:hAnsiTheme="majorHAnsi" w:cstheme="majorHAnsi"/>
          <w:sz w:val="24"/>
          <w:szCs w:val="24"/>
        </w:rPr>
        <w:t>.</w:t>
      </w:r>
      <w:r w:rsidRPr="00563EBF">
        <w:rPr>
          <w:rFonts w:asciiTheme="majorHAnsi" w:hAnsiTheme="majorHAnsi" w:cstheme="majorHAnsi"/>
          <w:sz w:val="24"/>
          <w:szCs w:val="24"/>
        </w:rPr>
        <w:t xml:space="preserve"> Plocha přede dveřmi hlavního vchodu je dostatečně velká (44 cm). Nachází se zde zvonek (výška 170 cm, odsazení od rohu zdi je 18 cm). U vchodu je také akustický orientační majáček. Majáček se nenachází nad osou vstupních dveří, ale nad dveřmi vpravo. Vchodové dveře jednokřídlé, mechanické a otevírají se dovnitř. Průjezdová šířka hlavního křídla je 90 cm, práh se zde nenachází, je zde ale křivá podlaha, která znesnadňuje přístup do budovy. Šířka zádveří u hlavního vchodu je 736 cm. Kontrastní značení prosklených ploch a značení schodů chybí. Dveře ze zádveří nejsou, jedná se o vstup do hlavní haly budovy se schody (počet + 8). Tyto schody lze překonat pouze za pomocí asistenta nebo se </w:t>
      </w:r>
      <w:proofErr w:type="spellStart"/>
      <w:r w:rsidRPr="00563EBF">
        <w:rPr>
          <w:rFonts w:asciiTheme="majorHAnsi" w:hAnsiTheme="majorHAnsi" w:cstheme="majorHAnsi"/>
          <w:sz w:val="24"/>
          <w:szCs w:val="24"/>
        </w:rPr>
        <w:t>schodolezem</w:t>
      </w:r>
      <w:proofErr w:type="spellEnd"/>
      <w:r w:rsidRPr="00563EBF">
        <w:rPr>
          <w:rFonts w:asciiTheme="majorHAnsi" w:hAnsiTheme="majorHAnsi" w:cstheme="majorHAnsi"/>
          <w:sz w:val="24"/>
          <w:szCs w:val="24"/>
        </w:rPr>
        <w:t xml:space="preserve">. Je ovšem možné použít plošinu za dveřmi (vpravo) vedoucími do suterénu a odtud vyjet výtahem do příslušného patra. </w:t>
      </w:r>
    </w:p>
    <w:p w:rsidR="00563EBF" w:rsidRPr="00563EBF" w:rsidRDefault="00563EBF" w:rsidP="00563EBF">
      <w:pPr>
        <w:spacing w:line="276" w:lineRule="auto"/>
        <w:ind w:firstLine="708"/>
        <w:jc w:val="both"/>
        <w:rPr>
          <w:rFonts w:asciiTheme="majorHAnsi" w:hAnsiTheme="majorHAnsi" w:cstheme="majorHAnsi"/>
          <w:sz w:val="24"/>
          <w:szCs w:val="24"/>
        </w:rPr>
      </w:pPr>
      <w:r w:rsidRPr="00563EBF">
        <w:rPr>
          <w:rFonts w:asciiTheme="majorHAnsi" w:hAnsiTheme="majorHAnsi" w:cstheme="majorHAnsi"/>
          <w:sz w:val="24"/>
          <w:szCs w:val="24"/>
        </w:rPr>
        <w:t xml:space="preserve">Jedná se o plošinu šikmou, uzamčenou a bez zvonku (šířka 79 cm, hloubka 100 cm a nosnost je </w:t>
      </w:r>
      <w:r w:rsidRPr="00563EBF">
        <w:rPr>
          <w:rFonts w:asciiTheme="majorHAnsi" w:hAnsiTheme="majorHAnsi" w:cstheme="majorHAnsi"/>
          <w:sz w:val="24"/>
          <w:szCs w:val="24"/>
        </w:rPr>
        <w:br/>
        <w:t xml:space="preserve">250 kg). Minimální parametry plošiny jsou 70 </w:t>
      </w:r>
      <w:r w:rsidR="008E5346" w:rsidRPr="008E5346">
        <w:rPr>
          <w:rFonts w:asciiTheme="majorHAnsi" w:hAnsiTheme="majorHAnsi" w:cstheme="majorHAnsi"/>
          <w:sz w:val="24"/>
          <w:szCs w:val="24"/>
        </w:rPr>
        <w:t>×</w:t>
      </w:r>
      <w:r w:rsidRPr="00563EBF">
        <w:rPr>
          <w:rFonts w:asciiTheme="majorHAnsi" w:hAnsiTheme="majorHAnsi" w:cstheme="majorHAnsi"/>
          <w:sz w:val="24"/>
          <w:szCs w:val="24"/>
        </w:rPr>
        <w:t xml:space="preserve"> 90 cm, min. nosnost 150 kg. U dolní nástupní plochy a dojezdu </w:t>
      </w:r>
      <w:r w:rsidRPr="00563EBF">
        <w:rPr>
          <w:rFonts w:asciiTheme="majorHAnsi" w:hAnsiTheme="majorHAnsi" w:cstheme="majorHAnsi"/>
          <w:sz w:val="24"/>
          <w:szCs w:val="24"/>
        </w:rPr>
        <w:lastRenderedPageBreak/>
        <w:t>je nástup čelní, rozměry nástupní plochy jsou dostatečně velké, bez překážek. Vstup na plošinu je zabezpečen zavíráním (zábranou). Výška převýšení mezi podlahou plošiny a nástupištěm jsou 2</w:t>
      </w:r>
      <w:r w:rsidR="008E5346">
        <w:rPr>
          <w:rFonts w:asciiTheme="majorHAnsi" w:hAnsiTheme="majorHAnsi" w:cstheme="majorHAnsi"/>
          <w:sz w:val="24"/>
          <w:szCs w:val="24"/>
        </w:rPr>
        <w:t xml:space="preserve"> </w:t>
      </w:r>
      <w:r w:rsidRPr="00563EBF">
        <w:rPr>
          <w:rFonts w:asciiTheme="majorHAnsi" w:hAnsiTheme="majorHAnsi" w:cstheme="majorHAnsi"/>
          <w:sz w:val="24"/>
          <w:szCs w:val="24"/>
        </w:rPr>
        <w:t>cm. Ovladače jsou dole na plošině (výška 102 cm (na střed), vně plošiny nahoře 106 cm (na střed), uvnitř plošiny 94 cm (na střed). Plošina překonává 12 schodů a 1 podlaží. Problém představují mechanické dvoukřídlé dveře (hlavní křídlo š. 89 cm, vedlejší křídlo š. 71 cm), které se otvírají do zádveří, jsou těžké, bez prahu a není zde madlo. Plošina je automatická a pro přivolání je potřeba stále držet tlačítko.</w:t>
      </w:r>
      <w:r w:rsidR="008E5346">
        <w:rPr>
          <w:rFonts w:asciiTheme="majorHAnsi" w:hAnsiTheme="majorHAnsi" w:cstheme="majorHAnsi"/>
          <w:sz w:val="24"/>
          <w:szCs w:val="24"/>
        </w:rPr>
        <w:t xml:space="preserve"> N</w:t>
      </w:r>
      <w:r w:rsidRPr="00563EBF">
        <w:rPr>
          <w:rFonts w:asciiTheme="majorHAnsi" w:hAnsiTheme="majorHAnsi" w:cstheme="majorHAnsi"/>
          <w:sz w:val="24"/>
          <w:szCs w:val="24"/>
        </w:rPr>
        <w:t xml:space="preserve">ikde </w:t>
      </w:r>
      <w:r w:rsidR="008E5346">
        <w:rPr>
          <w:rFonts w:asciiTheme="majorHAnsi" w:hAnsiTheme="majorHAnsi" w:cstheme="majorHAnsi"/>
          <w:sz w:val="24"/>
          <w:szCs w:val="24"/>
        </w:rPr>
        <w:t xml:space="preserve">není </w:t>
      </w:r>
      <w:r w:rsidRPr="00563EBF">
        <w:rPr>
          <w:rFonts w:asciiTheme="majorHAnsi" w:hAnsiTheme="majorHAnsi" w:cstheme="majorHAnsi"/>
          <w:sz w:val="24"/>
          <w:szCs w:val="24"/>
        </w:rPr>
        <w:t xml:space="preserve">poznámka, kde je k dostání </w:t>
      </w:r>
      <w:proofErr w:type="spellStart"/>
      <w:r w:rsidRPr="00563EBF">
        <w:rPr>
          <w:rFonts w:asciiTheme="majorHAnsi" w:hAnsiTheme="majorHAnsi" w:cstheme="majorHAnsi"/>
          <w:sz w:val="24"/>
          <w:szCs w:val="24"/>
        </w:rPr>
        <w:t>Euroklíč</w:t>
      </w:r>
      <w:proofErr w:type="spellEnd"/>
      <w:r w:rsidRPr="00563EBF">
        <w:rPr>
          <w:rFonts w:asciiTheme="majorHAnsi" w:hAnsiTheme="majorHAnsi" w:cstheme="majorHAnsi"/>
          <w:sz w:val="24"/>
          <w:szCs w:val="24"/>
        </w:rPr>
        <w:t xml:space="preserve">, není zde zvonek. </w:t>
      </w:r>
    </w:p>
    <w:p w:rsidR="00563EBF" w:rsidRDefault="00563EBF" w:rsidP="00563EBF">
      <w:pPr>
        <w:spacing w:line="276" w:lineRule="auto"/>
        <w:ind w:firstLine="708"/>
        <w:jc w:val="both"/>
        <w:rPr>
          <w:rFonts w:asciiTheme="majorHAnsi" w:hAnsiTheme="majorHAnsi" w:cstheme="majorHAnsi"/>
          <w:sz w:val="24"/>
          <w:szCs w:val="24"/>
        </w:rPr>
      </w:pPr>
      <w:r w:rsidRPr="00563EBF">
        <w:rPr>
          <w:rFonts w:asciiTheme="majorHAnsi" w:hAnsiTheme="majorHAnsi" w:cstheme="majorHAnsi"/>
          <w:sz w:val="24"/>
          <w:szCs w:val="24"/>
        </w:rPr>
        <w:t>U výtahu nastane problém s tím, že výtah se nerozjede bez použití čipu, který si student musí opatř</w:t>
      </w:r>
      <w:r w:rsidR="00FA5838">
        <w:rPr>
          <w:rFonts w:asciiTheme="majorHAnsi" w:hAnsiTheme="majorHAnsi" w:cstheme="majorHAnsi"/>
          <w:sz w:val="24"/>
          <w:szCs w:val="24"/>
        </w:rPr>
        <w:t>it buď na vrátnici, nebo od uklí</w:t>
      </w:r>
      <w:r w:rsidRPr="00563EBF">
        <w:rPr>
          <w:rFonts w:asciiTheme="majorHAnsi" w:hAnsiTheme="majorHAnsi" w:cstheme="majorHAnsi"/>
          <w:sz w:val="24"/>
          <w:szCs w:val="24"/>
        </w:rPr>
        <w:t xml:space="preserve">zeček. Studenti, kteří stabilně studují na </w:t>
      </w:r>
      <w:proofErr w:type="spellStart"/>
      <w:r w:rsidRPr="00563EBF">
        <w:rPr>
          <w:rFonts w:asciiTheme="majorHAnsi" w:hAnsiTheme="majorHAnsi" w:cstheme="majorHAnsi"/>
          <w:sz w:val="24"/>
          <w:szCs w:val="24"/>
        </w:rPr>
        <w:t>PdF</w:t>
      </w:r>
      <w:proofErr w:type="spellEnd"/>
      <w:r w:rsidRPr="00563EBF">
        <w:rPr>
          <w:rFonts w:asciiTheme="majorHAnsi" w:hAnsiTheme="majorHAnsi" w:cstheme="majorHAnsi"/>
          <w:sz w:val="24"/>
          <w:szCs w:val="24"/>
        </w:rPr>
        <w:t xml:space="preserve"> mohou mít čip u sebe. Výtahem je možno jezdit bez obsluhy, spojuje 1. až 4. patro. Nástupní plocha je dostatečně velká. Ovladač (v. horního tlačítka 110 cm), reliéfy vystouplé, ploché a grafické.  Značení i v Braillově písmu. Převýšení (rozdíl výšek mezi podlahou klece a nástupištěm) jsou 2</w:t>
      </w:r>
      <w:r w:rsidR="00FA5838">
        <w:rPr>
          <w:rFonts w:asciiTheme="majorHAnsi" w:hAnsiTheme="majorHAnsi" w:cstheme="majorHAnsi"/>
          <w:sz w:val="24"/>
          <w:szCs w:val="24"/>
        </w:rPr>
        <w:t xml:space="preserve"> </w:t>
      </w:r>
      <w:r w:rsidRPr="00563EBF">
        <w:rPr>
          <w:rFonts w:asciiTheme="majorHAnsi" w:hAnsiTheme="majorHAnsi" w:cstheme="majorHAnsi"/>
          <w:sz w:val="24"/>
          <w:szCs w:val="24"/>
        </w:rPr>
        <w:t>cm. Dveře jsou šachetní (š. 79 cm), otevírání mechanické, směrem ven. Nachází se zde také klecové dveře (š. 79 cm), otevírání automatické. Šířka klece 100 cm, hloubka je 109 cm, neprůchozí. Akustický majáček ve výtahu není. Uvnitř klece se nachází ovladače (vzdálenost od nejbližšího rohu 30 cm, v. horního tlačítka je 130</w:t>
      </w:r>
      <w:r w:rsidR="00FA5838">
        <w:rPr>
          <w:rFonts w:asciiTheme="majorHAnsi" w:hAnsiTheme="majorHAnsi" w:cstheme="majorHAnsi"/>
          <w:sz w:val="24"/>
          <w:szCs w:val="24"/>
        </w:rPr>
        <w:t xml:space="preserve"> </w:t>
      </w:r>
      <w:r w:rsidRPr="00563EBF">
        <w:rPr>
          <w:rFonts w:asciiTheme="majorHAnsi" w:hAnsiTheme="majorHAnsi" w:cstheme="majorHAnsi"/>
          <w:sz w:val="24"/>
          <w:szCs w:val="24"/>
        </w:rPr>
        <w:t>cm, reliéf</w:t>
      </w:r>
      <w:r w:rsidR="00FA5838">
        <w:rPr>
          <w:rFonts w:asciiTheme="majorHAnsi" w:hAnsiTheme="majorHAnsi" w:cstheme="majorHAnsi"/>
          <w:sz w:val="24"/>
          <w:szCs w:val="24"/>
        </w:rPr>
        <w:t xml:space="preserve">y vystouplé, ploché a grafické se </w:t>
      </w:r>
      <w:r w:rsidRPr="00563EBF">
        <w:rPr>
          <w:rFonts w:asciiTheme="majorHAnsi" w:hAnsiTheme="majorHAnsi" w:cstheme="majorHAnsi"/>
          <w:sz w:val="24"/>
          <w:szCs w:val="24"/>
        </w:rPr>
        <w:t>značení</w:t>
      </w:r>
      <w:r w:rsidR="00FA5838">
        <w:rPr>
          <w:rFonts w:asciiTheme="majorHAnsi" w:hAnsiTheme="majorHAnsi" w:cstheme="majorHAnsi"/>
          <w:sz w:val="24"/>
          <w:szCs w:val="24"/>
        </w:rPr>
        <w:t>m</w:t>
      </w:r>
      <w:r w:rsidRPr="00563EBF">
        <w:rPr>
          <w:rFonts w:asciiTheme="majorHAnsi" w:hAnsiTheme="majorHAnsi" w:cstheme="majorHAnsi"/>
          <w:sz w:val="24"/>
          <w:szCs w:val="24"/>
        </w:rPr>
        <w:t xml:space="preserve"> v Braillově písmu). Hlášení je akustické. Vybavení klece tvoří madlo (čelní i boční stěna), nachází se zde i sedátko, funkční ve všech polohách. Zrcadlo ve výtahu není.</w:t>
      </w:r>
    </w:p>
    <w:p w:rsidR="00563EBF" w:rsidRPr="00563EBF" w:rsidRDefault="00563EBF" w:rsidP="00563EBF">
      <w:pPr>
        <w:spacing w:line="276" w:lineRule="auto"/>
        <w:ind w:firstLine="708"/>
        <w:jc w:val="both"/>
        <w:rPr>
          <w:rFonts w:asciiTheme="majorHAnsi" w:hAnsiTheme="majorHAnsi" w:cstheme="majorHAnsi"/>
          <w:sz w:val="24"/>
          <w:szCs w:val="24"/>
        </w:rPr>
      </w:pPr>
    </w:p>
    <w:p w:rsidR="00563EBF" w:rsidRPr="00563EBF" w:rsidRDefault="00563EBF" w:rsidP="00563EBF">
      <w:pPr>
        <w:numPr>
          <w:ilvl w:val="0"/>
          <w:numId w:val="2"/>
        </w:numPr>
        <w:suppressAutoHyphens/>
        <w:spacing w:line="276" w:lineRule="auto"/>
        <w:jc w:val="both"/>
        <w:rPr>
          <w:rFonts w:asciiTheme="majorHAnsi" w:hAnsiTheme="majorHAnsi" w:cstheme="majorHAnsi"/>
          <w:b/>
          <w:sz w:val="24"/>
          <w:szCs w:val="24"/>
        </w:rPr>
      </w:pPr>
      <w:r w:rsidRPr="00563EBF">
        <w:rPr>
          <w:rFonts w:asciiTheme="majorHAnsi" w:hAnsiTheme="majorHAnsi" w:cstheme="majorHAnsi"/>
          <w:b/>
          <w:sz w:val="24"/>
          <w:szCs w:val="24"/>
        </w:rPr>
        <w:t>Vedlejší vstup – ulice 17. listopadu</w:t>
      </w:r>
    </w:p>
    <w:p w:rsidR="00563EBF" w:rsidRDefault="00563EBF" w:rsidP="00563EBF">
      <w:pPr>
        <w:spacing w:before="120" w:after="0" w:line="276" w:lineRule="auto"/>
        <w:jc w:val="both"/>
        <w:rPr>
          <w:rFonts w:asciiTheme="majorHAnsi" w:hAnsiTheme="majorHAnsi" w:cstheme="majorHAnsi"/>
          <w:sz w:val="24"/>
          <w:szCs w:val="24"/>
        </w:rPr>
      </w:pPr>
      <w:r w:rsidRPr="00563EBF">
        <w:rPr>
          <w:rFonts w:asciiTheme="majorHAnsi" w:hAnsiTheme="majorHAnsi" w:cstheme="majorHAnsi"/>
          <w:sz w:val="24"/>
          <w:szCs w:val="24"/>
        </w:rPr>
        <w:t>Je možno využít vedlejšího vstupu ze strany ulice 17. listopadu. Informace o něm jsou nalepené na sloupu před hlavním vstupem. Další informace o vedlejším vstupu jsou na vrátnici za hlavním vstupem. Vedlejší vstup je volně přístupný a otevřený. Problém představuje brána, která je uzamčená a pouze na dálkové ovládání (studenti, kteří potřebují bezbariérový vstup, dálkové ovládání dostanou). Návštěvníci musí před bránou vystoupit z auta a zazvonit na vrátnici, odkud jim bránu otevřou. Zvonek na vrátnici se nenachází na straně řidiče (výška 150 cm). Z tohoto důvodu musí řidič vyjít z auta. Součástí brány je i turniket, který člověk s omezenou hybností nevyužije z důvodu užší</w:t>
      </w:r>
      <w:r w:rsidR="00FA5838">
        <w:rPr>
          <w:rFonts w:asciiTheme="majorHAnsi" w:hAnsiTheme="majorHAnsi" w:cstheme="majorHAnsi"/>
          <w:sz w:val="24"/>
          <w:szCs w:val="24"/>
        </w:rPr>
        <w:t>ho</w:t>
      </w:r>
      <w:r w:rsidRPr="00563EBF">
        <w:rPr>
          <w:rFonts w:asciiTheme="majorHAnsi" w:hAnsiTheme="majorHAnsi" w:cstheme="majorHAnsi"/>
          <w:sz w:val="24"/>
          <w:szCs w:val="24"/>
        </w:rPr>
        <w:t xml:space="preserve"> průlezu a točení se. Značení prosklených ploch je, ale není kontrastní, jedná se o bílé, průsvitné značení. Vedlejší vstup má jedno vyhrazené parkovací stání (cca 50 m od vstupu za branou). Prostor je tvořen obtížným povrchem (hrubá historická dlažba, sklon 6,99</w:t>
      </w:r>
      <w:r w:rsidR="00FA5838">
        <w:rPr>
          <w:rFonts w:asciiTheme="majorHAnsi" w:hAnsiTheme="majorHAnsi" w:cstheme="majorHAnsi"/>
          <w:sz w:val="24"/>
          <w:szCs w:val="24"/>
        </w:rPr>
        <w:t xml:space="preserve"> %), vodi</w:t>
      </w:r>
      <w:r w:rsidRPr="00563EBF">
        <w:rPr>
          <w:rFonts w:asciiTheme="majorHAnsi" w:hAnsiTheme="majorHAnsi" w:cstheme="majorHAnsi"/>
          <w:sz w:val="24"/>
          <w:szCs w:val="24"/>
        </w:rPr>
        <w:t xml:space="preserve">cí linie chybí. Vstup ke vchodu budovy je volně přístupný a bez převýšení. Část prostoru je tvořena terasovým obkladem, který </w:t>
      </w:r>
      <w:r w:rsidR="00FA5838">
        <w:rPr>
          <w:rFonts w:asciiTheme="majorHAnsi" w:hAnsiTheme="majorHAnsi" w:cstheme="majorHAnsi"/>
          <w:sz w:val="24"/>
          <w:szCs w:val="24"/>
        </w:rPr>
        <w:t xml:space="preserve">se v případě mokra </w:t>
      </w:r>
      <w:r w:rsidRPr="00563EBF">
        <w:rPr>
          <w:rFonts w:asciiTheme="majorHAnsi" w:hAnsiTheme="majorHAnsi" w:cstheme="majorHAnsi"/>
          <w:sz w:val="24"/>
          <w:szCs w:val="24"/>
        </w:rPr>
        <w:t xml:space="preserve">stává kluzkým. </w:t>
      </w:r>
      <w:r w:rsidRPr="00563EBF">
        <w:rPr>
          <w:rStyle w:val="Zkladntext2"/>
          <w:rFonts w:asciiTheme="majorHAnsi" w:hAnsiTheme="majorHAnsi" w:cstheme="majorHAnsi"/>
          <w:sz w:val="24"/>
          <w:szCs w:val="24"/>
        </w:rPr>
        <w:t>Plocha před dveřmi je dostatečně velká, nenacházejí se tam žádná zúžená místa ani překážky.</w:t>
      </w:r>
      <w:r w:rsidRPr="00563EBF">
        <w:rPr>
          <w:rFonts w:asciiTheme="majorHAnsi" w:hAnsiTheme="majorHAnsi" w:cstheme="majorHAnsi"/>
          <w:sz w:val="24"/>
          <w:szCs w:val="24"/>
        </w:rPr>
        <w:t xml:space="preserve"> Zvonek a AOM chybí. Dveře dvoje dvoukřídlé a mechanické otevírající se směrem ven (hlavní křídlo š. 99 cm, vedlejší křídlo š. 99 cm, výška prahu 2 cm). Značení prosklených ploch je, ale není kontrastní, jedná se o bílé, průsvitné značení. Po vstupu následuje chodba, kde jsou následně schody (+20) a výtah. Schody jsou taktéž značeny, ale ne kontrastně, na bílých betonových schodech jsou stříbrné kovové kroužky. Výtah v suterénu nové budovy je volně přístupný, osobní</w:t>
      </w:r>
      <w:r w:rsidR="00FA5838">
        <w:rPr>
          <w:rFonts w:asciiTheme="majorHAnsi" w:hAnsiTheme="majorHAnsi" w:cstheme="majorHAnsi"/>
          <w:sz w:val="24"/>
          <w:szCs w:val="24"/>
        </w:rPr>
        <w:t>. Spojuje</w:t>
      </w:r>
      <w:r w:rsidRPr="00563EBF">
        <w:rPr>
          <w:rFonts w:asciiTheme="majorHAnsi" w:hAnsiTheme="majorHAnsi" w:cstheme="majorHAnsi"/>
          <w:sz w:val="24"/>
          <w:szCs w:val="24"/>
        </w:rPr>
        <w:t xml:space="preserve"> 3 patra a dojíždí na hlavní podesty (bez převýšení), manipulační prostor dostatečně velký. Výška horního tlačítka ovladače 108 </w:t>
      </w:r>
      <w:r w:rsidRPr="00563EBF">
        <w:rPr>
          <w:rFonts w:asciiTheme="majorHAnsi" w:hAnsiTheme="majorHAnsi" w:cstheme="majorHAnsi"/>
          <w:sz w:val="24"/>
          <w:szCs w:val="24"/>
        </w:rPr>
        <w:lastRenderedPageBreak/>
        <w:t>cm (reliéfy vystouplé, ploché a grafické + Braill</w:t>
      </w:r>
      <w:r w:rsidR="00FA5838">
        <w:rPr>
          <w:rFonts w:asciiTheme="majorHAnsi" w:hAnsiTheme="majorHAnsi" w:cstheme="majorHAnsi"/>
          <w:sz w:val="24"/>
          <w:szCs w:val="24"/>
        </w:rPr>
        <w:t>e</w:t>
      </w:r>
      <w:r w:rsidRPr="00563EBF">
        <w:rPr>
          <w:rFonts w:asciiTheme="majorHAnsi" w:hAnsiTheme="majorHAnsi" w:cstheme="majorHAnsi"/>
          <w:sz w:val="24"/>
          <w:szCs w:val="24"/>
        </w:rPr>
        <w:t>). Dveře šachetní, klecové (š. 90</w:t>
      </w:r>
      <w:r w:rsidR="00FA5838">
        <w:rPr>
          <w:rFonts w:asciiTheme="majorHAnsi" w:hAnsiTheme="majorHAnsi" w:cstheme="majorHAnsi"/>
          <w:sz w:val="24"/>
          <w:szCs w:val="24"/>
        </w:rPr>
        <w:t xml:space="preserve"> </w:t>
      </w:r>
      <w:r w:rsidRPr="00563EBF">
        <w:rPr>
          <w:rFonts w:asciiTheme="majorHAnsi" w:hAnsiTheme="majorHAnsi" w:cstheme="majorHAnsi"/>
          <w:sz w:val="24"/>
          <w:szCs w:val="24"/>
        </w:rPr>
        <w:t>cm), otevírání automatické, směrem do zdi. Uvnitř klece (v. 109 cm, hloubka 140 cm) se nachází ovladače (vzdálenost od nejbližšího rohu 45 cm, v. horního tlačítka 145 cm, reliéfy jsou vystouplé, ploché a grafické + Braill</w:t>
      </w:r>
      <w:r w:rsidR="00FA5838">
        <w:rPr>
          <w:rFonts w:asciiTheme="majorHAnsi" w:hAnsiTheme="majorHAnsi" w:cstheme="majorHAnsi"/>
          <w:sz w:val="24"/>
          <w:szCs w:val="24"/>
        </w:rPr>
        <w:t>e</w:t>
      </w:r>
      <w:r w:rsidRPr="00563EBF">
        <w:rPr>
          <w:rFonts w:asciiTheme="majorHAnsi" w:hAnsiTheme="majorHAnsi" w:cstheme="majorHAnsi"/>
          <w:sz w:val="24"/>
          <w:szCs w:val="24"/>
        </w:rPr>
        <w:t>), hlášení je akustické i fonetické. Akustický majáček ve výtahu není. V kleci je madlo (čelní stěna), sedátko (funkční ve všech polohách) a zrcadlo (výška spodní hrany je 13 cm).</w:t>
      </w:r>
    </w:p>
    <w:p w:rsidR="00563EBF" w:rsidRPr="00563EBF" w:rsidRDefault="00563EBF" w:rsidP="00563EBF">
      <w:pPr>
        <w:spacing w:before="120" w:after="0" w:line="276" w:lineRule="auto"/>
        <w:jc w:val="both"/>
        <w:rPr>
          <w:rFonts w:asciiTheme="majorHAnsi" w:hAnsiTheme="majorHAnsi" w:cstheme="majorHAnsi"/>
          <w:sz w:val="24"/>
          <w:szCs w:val="24"/>
        </w:rPr>
      </w:pPr>
    </w:p>
    <w:p w:rsidR="00563EBF" w:rsidRPr="00563EBF" w:rsidRDefault="00563EBF" w:rsidP="00563EBF">
      <w:pPr>
        <w:numPr>
          <w:ilvl w:val="0"/>
          <w:numId w:val="2"/>
        </w:numPr>
        <w:suppressAutoHyphens/>
        <w:spacing w:before="120" w:after="0" w:line="276" w:lineRule="auto"/>
        <w:ind w:left="714" w:hanging="357"/>
        <w:jc w:val="both"/>
        <w:rPr>
          <w:rFonts w:asciiTheme="majorHAnsi" w:hAnsiTheme="majorHAnsi" w:cstheme="majorHAnsi"/>
          <w:b/>
          <w:sz w:val="24"/>
          <w:szCs w:val="24"/>
        </w:rPr>
      </w:pPr>
      <w:r w:rsidRPr="00563EBF">
        <w:rPr>
          <w:rFonts w:asciiTheme="majorHAnsi" w:hAnsiTheme="majorHAnsi" w:cstheme="majorHAnsi"/>
          <w:b/>
          <w:sz w:val="24"/>
          <w:szCs w:val="24"/>
        </w:rPr>
        <w:t>Vedlejší vstup</w:t>
      </w:r>
      <w:r>
        <w:rPr>
          <w:rFonts w:asciiTheme="majorHAnsi" w:hAnsiTheme="majorHAnsi" w:cstheme="majorHAnsi"/>
          <w:b/>
          <w:sz w:val="24"/>
          <w:szCs w:val="24"/>
        </w:rPr>
        <w:t xml:space="preserve"> </w:t>
      </w:r>
      <w:r w:rsidR="00914FF7">
        <w:rPr>
          <w:rFonts w:asciiTheme="majorHAnsi" w:hAnsiTheme="majorHAnsi" w:cstheme="majorHAnsi"/>
          <w:b/>
          <w:sz w:val="24"/>
          <w:szCs w:val="24"/>
        </w:rPr>
        <w:t>–</w:t>
      </w:r>
      <w:r w:rsidRPr="00563EBF">
        <w:rPr>
          <w:rFonts w:asciiTheme="majorHAnsi" w:hAnsiTheme="majorHAnsi" w:cstheme="majorHAnsi"/>
          <w:b/>
          <w:sz w:val="24"/>
          <w:szCs w:val="24"/>
        </w:rPr>
        <w:t xml:space="preserve"> ulice Jiřího z Poděbrad</w:t>
      </w:r>
    </w:p>
    <w:p w:rsidR="00563EBF" w:rsidRPr="00563EBF" w:rsidRDefault="00563EBF" w:rsidP="00563EBF">
      <w:pPr>
        <w:spacing w:before="120" w:after="0" w:line="276" w:lineRule="auto"/>
        <w:jc w:val="both"/>
        <w:rPr>
          <w:rFonts w:asciiTheme="majorHAnsi" w:hAnsiTheme="majorHAnsi" w:cstheme="majorHAnsi"/>
          <w:sz w:val="24"/>
          <w:szCs w:val="24"/>
        </w:rPr>
      </w:pPr>
      <w:r w:rsidRPr="00563EBF">
        <w:rPr>
          <w:rFonts w:asciiTheme="majorHAnsi" w:hAnsiTheme="majorHAnsi" w:cstheme="majorHAnsi"/>
          <w:sz w:val="24"/>
          <w:szCs w:val="24"/>
        </w:rPr>
        <w:t>Informační tabulka o vedlejším vstupu není. Informace o možnosti vjezdu do budovy poskytuje vrátnice. K vedlejšímu vstupu vede hrubá historická dlažba. Součástí tohoto vedlejšího vstupu je i vyhrazené parkovací stání (cca 50</w:t>
      </w:r>
      <w:r w:rsidR="00914FF7">
        <w:rPr>
          <w:rFonts w:asciiTheme="majorHAnsi" w:hAnsiTheme="majorHAnsi" w:cstheme="majorHAnsi"/>
          <w:sz w:val="24"/>
          <w:szCs w:val="24"/>
        </w:rPr>
        <w:t xml:space="preserve"> </w:t>
      </w:r>
      <w:r w:rsidRPr="00563EBF">
        <w:rPr>
          <w:rFonts w:asciiTheme="majorHAnsi" w:hAnsiTheme="majorHAnsi" w:cstheme="majorHAnsi"/>
          <w:sz w:val="24"/>
          <w:szCs w:val="24"/>
        </w:rPr>
        <w:t xml:space="preserve">m od vedlejšího vstupu) za bránou. Přístup od vyhrazeného parkování ke vstupu do objektu je plně bezbariérový, podlaha je kamenná (sklon </w:t>
      </w:r>
      <w:r w:rsidRPr="00563EBF">
        <w:rPr>
          <w:rStyle w:val="Zkladntext2"/>
          <w:rFonts w:asciiTheme="majorHAnsi" w:hAnsiTheme="majorHAnsi" w:cstheme="majorHAnsi"/>
          <w:sz w:val="24"/>
          <w:szCs w:val="24"/>
        </w:rPr>
        <w:t>6,99</w:t>
      </w:r>
      <w:r w:rsidR="00914FF7">
        <w:rPr>
          <w:rStyle w:val="Zkladntext2"/>
          <w:rFonts w:asciiTheme="majorHAnsi" w:hAnsiTheme="majorHAnsi" w:cstheme="majorHAnsi"/>
          <w:sz w:val="24"/>
          <w:szCs w:val="24"/>
        </w:rPr>
        <w:t xml:space="preserve"> </w:t>
      </w:r>
      <w:r w:rsidRPr="00563EBF">
        <w:rPr>
          <w:rStyle w:val="Zkladntext2"/>
          <w:rFonts w:asciiTheme="majorHAnsi" w:hAnsiTheme="majorHAnsi" w:cstheme="majorHAnsi"/>
          <w:sz w:val="24"/>
          <w:szCs w:val="24"/>
        </w:rPr>
        <w:t>%)</w:t>
      </w:r>
      <w:r w:rsidRPr="00563EBF">
        <w:rPr>
          <w:rFonts w:asciiTheme="majorHAnsi" w:hAnsiTheme="majorHAnsi" w:cstheme="majorHAnsi"/>
          <w:sz w:val="24"/>
          <w:szCs w:val="24"/>
        </w:rPr>
        <w:t>. V úplné rovině je až terasová dlažba, vodicí linie chybí. Vst</w:t>
      </w:r>
      <w:r w:rsidR="00914FF7">
        <w:rPr>
          <w:rFonts w:asciiTheme="majorHAnsi" w:hAnsiTheme="majorHAnsi" w:cstheme="majorHAnsi"/>
          <w:sz w:val="24"/>
          <w:szCs w:val="24"/>
        </w:rPr>
        <w:t xml:space="preserve">up ke vchodu je volně přístupný a </w:t>
      </w:r>
      <w:r w:rsidRPr="00563EBF">
        <w:rPr>
          <w:rFonts w:asciiTheme="majorHAnsi" w:hAnsiTheme="majorHAnsi" w:cstheme="majorHAnsi"/>
          <w:sz w:val="24"/>
          <w:szCs w:val="24"/>
        </w:rPr>
        <w:t xml:space="preserve">je tvořen dvěma dvoukřídlými mechanickými dveřmi s otevíráním směrem ven (š. </w:t>
      </w:r>
      <w:proofErr w:type="gramStart"/>
      <w:r w:rsidRPr="00563EBF">
        <w:rPr>
          <w:rFonts w:asciiTheme="majorHAnsi" w:hAnsiTheme="majorHAnsi" w:cstheme="majorHAnsi"/>
          <w:sz w:val="24"/>
          <w:szCs w:val="24"/>
        </w:rPr>
        <w:t>hlavního</w:t>
      </w:r>
      <w:proofErr w:type="gramEnd"/>
      <w:r w:rsidRPr="00563EBF">
        <w:rPr>
          <w:rFonts w:asciiTheme="majorHAnsi" w:hAnsiTheme="majorHAnsi" w:cstheme="majorHAnsi"/>
          <w:sz w:val="24"/>
          <w:szCs w:val="24"/>
        </w:rPr>
        <w:t xml:space="preserve"> křídla 99 cm, vedlejšího 99 cm, výška prahu 1,5</w:t>
      </w:r>
      <w:r w:rsidR="00914FF7">
        <w:rPr>
          <w:rFonts w:asciiTheme="majorHAnsi" w:hAnsiTheme="majorHAnsi" w:cstheme="majorHAnsi"/>
          <w:sz w:val="24"/>
          <w:szCs w:val="24"/>
        </w:rPr>
        <w:t>–</w:t>
      </w:r>
      <w:r w:rsidRPr="00563EBF">
        <w:rPr>
          <w:rFonts w:asciiTheme="majorHAnsi" w:hAnsiTheme="majorHAnsi" w:cstheme="majorHAnsi"/>
          <w:sz w:val="24"/>
          <w:szCs w:val="24"/>
        </w:rPr>
        <w:t>2 cm). Je zde kontrastní značení prosklených ploch i schodů.</w:t>
      </w:r>
    </w:p>
    <w:p w:rsidR="00563EBF" w:rsidRPr="00563EBF" w:rsidRDefault="00563EBF" w:rsidP="00563EBF">
      <w:pPr>
        <w:spacing w:before="120" w:after="0" w:line="276" w:lineRule="auto"/>
        <w:jc w:val="both"/>
        <w:rPr>
          <w:rFonts w:asciiTheme="majorHAnsi" w:hAnsiTheme="majorHAnsi" w:cstheme="majorHAnsi"/>
          <w:sz w:val="24"/>
          <w:szCs w:val="24"/>
        </w:rPr>
      </w:pPr>
    </w:p>
    <w:p w:rsidR="00563EBF" w:rsidRPr="00563EBF" w:rsidRDefault="00563EBF" w:rsidP="00563EBF">
      <w:pPr>
        <w:spacing w:line="276" w:lineRule="auto"/>
        <w:ind w:firstLine="708"/>
        <w:jc w:val="both"/>
        <w:rPr>
          <w:rFonts w:asciiTheme="majorHAnsi" w:hAnsiTheme="majorHAnsi" w:cstheme="majorHAnsi"/>
          <w:sz w:val="24"/>
          <w:szCs w:val="24"/>
        </w:rPr>
      </w:pPr>
      <w:r w:rsidRPr="00563EBF">
        <w:rPr>
          <w:rFonts w:asciiTheme="majorHAnsi" w:hAnsiTheme="majorHAnsi" w:cstheme="majorHAnsi"/>
          <w:sz w:val="24"/>
          <w:szCs w:val="24"/>
        </w:rPr>
        <w:t xml:space="preserve">Přístup do bufetu je umožněn díky šikmé schodišťové plošině. Jedná se o plošinu uzamčenou na </w:t>
      </w:r>
      <w:proofErr w:type="spellStart"/>
      <w:r w:rsidRPr="00563EBF">
        <w:rPr>
          <w:rFonts w:asciiTheme="majorHAnsi" w:hAnsiTheme="majorHAnsi" w:cstheme="majorHAnsi"/>
          <w:sz w:val="24"/>
          <w:szCs w:val="24"/>
        </w:rPr>
        <w:t>Euroklíč</w:t>
      </w:r>
      <w:proofErr w:type="spellEnd"/>
      <w:r w:rsidRPr="00563EBF">
        <w:rPr>
          <w:rFonts w:asciiTheme="majorHAnsi" w:hAnsiTheme="majorHAnsi" w:cstheme="majorHAnsi"/>
          <w:sz w:val="24"/>
          <w:szCs w:val="24"/>
        </w:rPr>
        <w:t xml:space="preserve"> (dostupný na vrátnici) a bez zvonku (šířka 90,9 cm, hloubka 102,8 cm a nosnost je 225 kg). Minimální parametry plošiny jsou 70 x 90 cm, min. nosnost 150 kg. U dolní i horní nástupní plochy a dojezdu je nástup čelní, rozměry nástupní plochy jsou dostatečně velké, bez překážek. Vstup na plošinu je zabezpečen zavíráním (zábranou). Výška převýšení mezi podlahou plošiny a nástupištěm v přízemí není, v suterénu je 2</w:t>
      </w:r>
      <w:r w:rsidR="00914FF7">
        <w:rPr>
          <w:rFonts w:asciiTheme="majorHAnsi" w:hAnsiTheme="majorHAnsi" w:cstheme="majorHAnsi"/>
          <w:sz w:val="24"/>
          <w:szCs w:val="24"/>
        </w:rPr>
        <w:t xml:space="preserve"> </w:t>
      </w:r>
      <w:r w:rsidRPr="00563EBF">
        <w:rPr>
          <w:rFonts w:asciiTheme="majorHAnsi" w:hAnsiTheme="majorHAnsi" w:cstheme="majorHAnsi"/>
          <w:sz w:val="24"/>
          <w:szCs w:val="24"/>
        </w:rPr>
        <w:t>cm s výjezdem na rám dveří, což může komplikovat výjezd a nájezd. Ovladače jsou d</w:t>
      </w:r>
      <w:r w:rsidR="00914FF7">
        <w:rPr>
          <w:rFonts w:asciiTheme="majorHAnsi" w:hAnsiTheme="majorHAnsi" w:cstheme="majorHAnsi"/>
          <w:sz w:val="24"/>
          <w:szCs w:val="24"/>
        </w:rPr>
        <w:t xml:space="preserve">ole na plošině (výška 103,8 cm </w:t>
      </w:r>
      <w:r w:rsidRPr="00563EBF">
        <w:rPr>
          <w:rFonts w:asciiTheme="majorHAnsi" w:hAnsiTheme="majorHAnsi" w:cstheme="majorHAnsi"/>
          <w:sz w:val="24"/>
          <w:szCs w:val="24"/>
        </w:rPr>
        <w:t>na střed, vně plošiny nahoře 109 cm na střed</w:t>
      </w:r>
      <w:r w:rsidR="00914FF7">
        <w:rPr>
          <w:rFonts w:asciiTheme="majorHAnsi" w:hAnsiTheme="majorHAnsi" w:cstheme="majorHAnsi"/>
          <w:sz w:val="24"/>
          <w:szCs w:val="24"/>
        </w:rPr>
        <w:t xml:space="preserve">, uvnitř plošiny 96,6 cm </w:t>
      </w:r>
      <w:r w:rsidRPr="00563EBF">
        <w:rPr>
          <w:rFonts w:asciiTheme="majorHAnsi" w:hAnsiTheme="majorHAnsi" w:cstheme="majorHAnsi"/>
          <w:sz w:val="24"/>
          <w:szCs w:val="24"/>
        </w:rPr>
        <w:t xml:space="preserve">na střed). Plošina překonává 10 + 13 schodů a 1 podlaží (s podestou uprostřed). Na úrovni podesty se plošina nezastaví, ačkoli i zde jsou vně ovladače na přivolání plošiny. </w:t>
      </w:r>
    </w:p>
    <w:p w:rsidR="00563EBF" w:rsidRPr="00563EBF" w:rsidRDefault="00563EBF" w:rsidP="00563EBF">
      <w:pPr>
        <w:spacing w:line="276" w:lineRule="auto"/>
        <w:jc w:val="both"/>
        <w:rPr>
          <w:rFonts w:asciiTheme="majorHAnsi" w:hAnsiTheme="majorHAnsi" w:cstheme="majorHAnsi"/>
          <w:b/>
          <w:sz w:val="24"/>
          <w:szCs w:val="24"/>
        </w:rPr>
      </w:pPr>
    </w:p>
    <w:p w:rsidR="00563EBF" w:rsidRPr="00563EBF" w:rsidRDefault="00563EBF" w:rsidP="00563EBF">
      <w:pPr>
        <w:pStyle w:val="Heading2"/>
        <w:rPr>
          <w:b/>
        </w:rPr>
      </w:pPr>
      <w:r w:rsidRPr="00563EBF">
        <w:rPr>
          <w:b/>
        </w:rPr>
        <w:t>Hygienické zázemí</w:t>
      </w:r>
    </w:p>
    <w:p w:rsidR="00563EBF" w:rsidRPr="00563EBF" w:rsidRDefault="00563EBF" w:rsidP="00563EBF">
      <w:pPr>
        <w:numPr>
          <w:ilvl w:val="0"/>
          <w:numId w:val="3"/>
        </w:numPr>
        <w:suppressAutoHyphens/>
        <w:spacing w:line="276" w:lineRule="auto"/>
        <w:jc w:val="both"/>
        <w:rPr>
          <w:rFonts w:asciiTheme="majorHAnsi" w:hAnsiTheme="majorHAnsi" w:cstheme="majorHAnsi"/>
          <w:b/>
          <w:sz w:val="24"/>
          <w:szCs w:val="24"/>
        </w:rPr>
      </w:pPr>
      <w:r w:rsidRPr="00563EBF">
        <w:rPr>
          <w:rFonts w:asciiTheme="majorHAnsi" w:hAnsiTheme="majorHAnsi" w:cstheme="majorHAnsi"/>
          <w:b/>
          <w:sz w:val="24"/>
          <w:szCs w:val="24"/>
        </w:rPr>
        <w:t>Toaleta – umístěn</w:t>
      </w:r>
      <w:r w:rsidR="00914FF7">
        <w:rPr>
          <w:rFonts w:asciiTheme="majorHAnsi" w:hAnsiTheme="majorHAnsi" w:cstheme="majorHAnsi"/>
          <w:b/>
          <w:sz w:val="24"/>
          <w:szCs w:val="24"/>
        </w:rPr>
        <w:t xml:space="preserve">í v původní (staré) budově </w:t>
      </w:r>
      <w:proofErr w:type="spellStart"/>
      <w:r w:rsidR="00914FF7">
        <w:rPr>
          <w:rFonts w:asciiTheme="majorHAnsi" w:hAnsiTheme="majorHAnsi" w:cstheme="majorHAnsi"/>
          <w:b/>
          <w:sz w:val="24"/>
          <w:szCs w:val="24"/>
        </w:rPr>
        <w:t>PdF</w:t>
      </w:r>
      <w:proofErr w:type="spellEnd"/>
      <w:r w:rsidR="00914FF7">
        <w:rPr>
          <w:rFonts w:asciiTheme="majorHAnsi" w:hAnsiTheme="majorHAnsi" w:cstheme="majorHAnsi"/>
          <w:b/>
          <w:sz w:val="24"/>
          <w:szCs w:val="24"/>
        </w:rPr>
        <w:t xml:space="preserve"> –</w:t>
      </w:r>
      <w:r w:rsidRPr="00563EBF">
        <w:rPr>
          <w:rFonts w:asciiTheme="majorHAnsi" w:hAnsiTheme="majorHAnsi" w:cstheme="majorHAnsi"/>
          <w:b/>
          <w:sz w:val="24"/>
          <w:szCs w:val="24"/>
        </w:rPr>
        <w:t xml:space="preserve"> přízemí</w:t>
      </w:r>
    </w:p>
    <w:p w:rsidR="00563EBF" w:rsidRDefault="00563EBF" w:rsidP="00563EBF">
      <w:pPr>
        <w:spacing w:line="276" w:lineRule="auto"/>
        <w:jc w:val="both"/>
        <w:rPr>
          <w:rFonts w:asciiTheme="majorHAnsi" w:hAnsiTheme="majorHAnsi" w:cstheme="majorHAnsi"/>
          <w:sz w:val="24"/>
          <w:szCs w:val="24"/>
        </w:rPr>
      </w:pPr>
      <w:r w:rsidRPr="00563EBF">
        <w:rPr>
          <w:rFonts w:asciiTheme="majorHAnsi" w:hAnsiTheme="majorHAnsi" w:cstheme="majorHAnsi"/>
          <w:sz w:val="24"/>
          <w:szCs w:val="24"/>
        </w:rPr>
        <w:t xml:space="preserve">Toaleta se nachází v přízemí, ve staré budově. Předsíň není součástí. Kabina je samostatná, uzamčena klíčem, není tedy možné použít </w:t>
      </w:r>
      <w:proofErr w:type="spellStart"/>
      <w:r w:rsidRPr="00563EBF">
        <w:rPr>
          <w:rFonts w:asciiTheme="majorHAnsi" w:hAnsiTheme="majorHAnsi" w:cstheme="majorHAnsi"/>
          <w:sz w:val="24"/>
          <w:szCs w:val="24"/>
        </w:rPr>
        <w:t>Euroklíč</w:t>
      </w:r>
      <w:proofErr w:type="spellEnd"/>
      <w:r w:rsidRPr="00563EBF">
        <w:rPr>
          <w:rFonts w:asciiTheme="majorHAnsi" w:hAnsiTheme="majorHAnsi" w:cstheme="majorHAnsi"/>
          <w:sz w:val="24"/>
          <w:szCs w:val="24"/>
        </w:rPr>
        <w:t>. Klíč je možno vyzvednout na vrátnici nebo v Centru podpory studentů se specifickými potřebami (nová budova, 2. podlaží, místnost N12). Součástí kabiny je vypínač (v. 94 cm). Dveře se otvírají vně (š. 90 cm), na vnitřní straně je madlo. Aktuálně není připevněno ke dveřím. Kabina má š. 145 cm, hloubku 163 cm, vzdálenost od levého boku mísy k levé stěně 22 cm, vzdálenost od pravého boku mísy k pravé stěně 85 cm, výška sedátka 52 cm, odsazení WC mísy od zadní stěny 18</w:t>
      </w:r>
      <w:r w:rsidR="00914FF7">
        <w:rPr>
          <w:rFonts w:asciiTheme="majorHAnsi" w:hAnsiTheme="majorHAnsi" w:cstheme="majorHAnsi"/>
          <w:sz w:val="24"/>
          <w:szCs w:val="24"/>
        </w:rPr>
        <w:t xml:space="preserve"> </w:t>
      </w:r>
      <w:r w:rsidRPr="00563EBF">
        <w:rPr>
          <w:rFonts w:asciiTheme="majorHAnsi" w:hAnsiTheme="majorHAnsi" w:cstheme="majorHAnsi"/>
          <w:sz w:val="24"/>
          <w:szCs w:val="24"/>
        </w:rPr>
        <w:t>cm, prostor pro vozík vedle WC mísy je úplně volný, toaletní papír je v dosahu z mísy. Splachování toalety se nachází vzadu, mechanické a v pořádku (výška splachov</w:t>
      </w:r>
      <w:r w:rsidR="00914FF7">
        <w:rPr>
          <w:rFonts w:asciiTheme="majorHAnsi" w:hAnsiTheme="majorHAnsi" w:cstheme="majorHAnsi"/>
          <w:sz w:val="24"/>
          <w:szCs w:val="24"/>
        </w:rPr>
        <w:t>adla 113 cm, madla oboustranná –</w:t>
      </w:r>
      <w:r w:rsidRPr="00563EBF">
        <w:rPr>
          <w:rFonts w:asciiTheme="majorHAnsi" w:hAnsiTheme="majorHAnsi" w:cstheme="majorHAnsi"/>
          <w:sz w:val="24"/>
          <w:szCs w:val="24"/>
        </w:rPr>
        <w:t xml:space="preserve"> levé pevné (délka 48 cm, v. 82 cm), pravé sklopné </w:t>
      </w:r>
      <w:r w:rsidRPr="00563EBF">
        <w:rPr>
          <w:rFonts w:asciiTheme="majorHAnsi" w:hAnsiTheme="majorHAnsi" w:cstheme="majorHAnsi"/>
          <w:sz w:val="24"/>
          <w:szCs w:val="24"/>
        </w:rPr>
        <w:lastRenderedPageBreak/>
        <w:t>(délka 82 cm, v. 82 cm), osová vzdálenost 65 cm). Umyvadlo (v. 83</w:t>
      </w:r>
      <w:r w:rsidR="00914FF7">
        <w:rPr>
          <w:rFonts w:asciiTheme="majorHAnsi" w:hAnsiTheme="majorHAnsi" w:cstheme="majorHAnsi"/>
          <w:sz w:val="24"/>
          <w:szCs w:val="24"/>
        </w:rPr>
        <w:t xml:space="preserve"> </w:t>
      </w:r>
      <w:r w:rsidRPr="00563EBF">
        <w:rPr>
          <w:rFonts w:asciiTheme="majorHAnsi" w:hAnsiTheme="majorHAnsi" w:cstheme="majorHAnsi"/>
          <w:sz w:val="24"/>
          <w:szCs w:val="24"/>
        </w:rPr>
        <w:t>cm), podjezd v hloubce 20 cm od hrany umyvadla je dostatečný (65</w:t>
      </w:r>
      <w:r w:rsidR="00914FF7">
        <w:rPr>
          <w:rFonts w:asciiTheme="majorHAnsi" w:hAnsiTheme="majorHAnsi" w:cstheme="majorHAnsi"/>
          <w:sz w:val="24"/>
          <w:szCs w:val="24"/>
        </w:rPr>
        <w:t xml:space="preserve"> </w:t>
      </w:r>
      <w:r w:rsidRPr="00563EBF">
        <w:rPr>
          <w:rFonts w:asciiTheme="majorHAnsi" w:hAnsiTheme="majorHAnsi" w:cstheme="majorHAnsi"/>
          <w:sz w:val="24"/>
          <w:szCs w:val="24"/>
        </w:rPr>
        <w:t xml:space="preserve">cm). Baterie páková (v. od </w:t>
      </w:r>
      <w:proofErr w:type="gramStart"/>
      <w:r w:rsidRPr="00563EBF">
        <w:rPr>
          <w:rFonts w:asciiTheme="majorHAnsi" w:hAnsiTheme="majorHAnsi" w:cstheme="majorHAnsi"/>
          <w:sz w:val="24"/>
          <w:szCs w:val="24"/>
        </w:rPr>
        <w:t>podlahy  94</w:t>
      </w:r>
      <w:proofErr w:type="gramEnd"/>
      <w:r w:rsidR="00914FF7">
        <w:rPr>
          <w:rFonts w:asciiTheme="majorHAnsi" w:hAnsiTheme="majorHAnsi" w:cstheme="majorHAnsi"/>
          <w:sz w:val="24"/>
          <w:szCs w:val="24"/>
        </w:rPr>
        <w:t xml:space="preserve"> </w:t>
      </w:r>
      <w:r w:rsidRPr="00563EBF">
        <w:rPr>
          <w:rFonts w:asciiTheme="majorHAnsi" w:hAnsiTheme="majorHAnsi" w:cstheme="majorHAnsi"/>
          <w:sz w:val="24"/>
          <w:szCs w:val="24"/>
        </w:rPr>
        <w:t xml:space="preserve">cm, madlo zde chybí). Zrcadlo je nahnuté </w:t>
      </w:r>
      <w:r w:rsidRPr="00563EBF">
        <w:rPr>
          <w:rFonts w:asciiTheme="majorHAnsi" w:hAnsiTheme="majorHAnsi" w:cstheme="majorHAnsi"/>
          <w:sz w:val="24"/>
          <w:szCs w:val="24"/>
        </w:rPr>
        <w:br/>
        <w:t>(1</w:t>
      </w:r>
      <w:r w:rsidR="00914FF7">
        <w:rPr>
          <w:rFonts w:asciiTheme="majorHAnsi" w:hAnsiTheme="majorHAnsi" w:cstheme="majorHAnsi"/>
          <w:sz w:val="24"/>
          <w:szCs w:val="24"/>
        </w:rPr>
        <w:t>20 cm –</w:t>
      </w:r>
      <w:r w:rsidRPr="00563EBF">
        <w:rPr>
          <w:rFonts w:asciiTheme="majorHAnsi" w:hAnsiTheme="majorHAnsi" w:cstheme="majorHAnsi"/>
          <w:sz w:val="24"/>
          <w:szCs w:val="24"/>
        </w:rPr>
        <w:t xml:space="preserve"> spodní úroveň zrcadla). Na toaletě se nachází signalizační tlačítko (v. signalizace v horní úrovni 94 cm, výška signalizace ve spodní úrovni 87 cm). V kabině není přebalovací pult. V objektu je běžné WC. Je označeno v Braillově písmu.</w:t>
      </w:r>
    </w:p>
    <w:p w:rsidR="00563EBF" w:rsidRPr="00563EBF" w:rsidRDefault="00563EBF" w:rsidP="00563EBF">
      <w:pPr>
        <w:spacing w:line="276" w:lineRule="auto"/>
        <w:jc w:val="both"/>
        <w:rPr>
          <w:rFonts w:asciiTheme="majorHAnsi" w:hAnsiTheme="majorHAnsi" w:cstheme="majorHAnsi"/>
          <w:b/>
          <w:sz w:val="24"/>
          <w:szCs w:val="24"/>
          <w:u w:val="single"/>
        </w:rPr>
      </w:pPr>
    </w:p>
    <w:p w:rsidR="00563EBF" w:rsidRPr="00563EBF" w:rsidRDefault="00563EBF" w:rsidP="00563EBF">
      <w:pPr>
        <w:numPr>
          <w:ilvl w:val="0"/>
          <w:numId w:val="3"/>
        </w:numPr>
        <w:suppressAutoHyphens/>
        <w:spacing w:line="276" w:lineRule="auto"/>
        <w:jc w:val="both"/>
        <w:rPr>
          <w:rFonts w:asciiTheme="majorHAnsi" w:hAnsiTheme="majorHAnsi" w:cstheme="majorHAnsi"/>
          <w:b/>
          <w:sz w:val="24"/>
          <w:szCs w:val="24"/>
        </w:rPr>
      </w:pPr>
      <w:r w:rsidRPr="00563EBF">
        <w:rPr>
          <w:rFonts w:asciiTheme="majorHAnsi" w:hAnsiTheme="majorHAnsi" w:cstheme="majorHAnsi"/>
          <w:sz w:val="24"/>
          <w:szCs w:val="24"/>
        </w:rPr>
        <w:t xml:space="preserve"> </w:t>
      </w:r>
      <w:r w:rsidRPr="00563EBF">
        <w:rPr>
          <w:rFonts w:asciiTheme="majorHAnsi" w:hAnsiTheme="majorHAnsi" w:cstheme="majorHAnsi"/>
          <w:b/>
          <w:sz w:val="24"/>
          <w:szCs w:val="24"/>
        </w:rPr>
        <w:t>Toaleta – umístěn</w:t>
      </w:r>
      <w:r w:rsidR="00914FF7">
        <w:rPr>
          <w:rFonts w:asciiTheme="majorHAnsi" w:hAnsiTheme="majorHAnsi" w:cstheme="majorHAnsi"/>
          <w:b/>
          <w:sz w:val="24"/>
          <w:szCs w:val="24"/>
        </w:rPr>
        <w:t xml:space="preserve">í v původní (staré) budově </w:t>
      </w:r>
      <w:proofErr w:type="spellStart"/>
      <w:r w:rsidR="00914FF7">
        <w:rPr>
          <w:rFonts w:asciiTheme="majorHAnsi" w:hAnsiTheme="majorHAnsi" w:cstheme="majorHAnsi"/>
          <w:b/>
          <w:sz w:val="24"/>
          <w:szCs w:val="24"/>
        </w:rPr>
        <w:t>PdF</w:t>
      </w:r>
      <w:proofErr w:type="spellEnd"/>
      <w:r w:rsidR="00914FF7">
        <w:rPr>
          <w:rFonts w:asciiTheme="majorHAnsi" w:hAnsiTheme="majorHAnsi" w:cstheme="majorHAnsi"/>
          <w:b/>
          <w:sz w:val="24"/>
          <w:szCs w:val="24"/>
        </w:rPr>
        <w:t xml:space="preserve"> –</w:t>
      </w:r>
      <w:r w:rsidRPr="00563EBF">
        <w:rPr>
          <w:rFonts w:asciiTheme="majorHAnsi" w:hAnsiTheme="majorHAnsi" w:cstheme="majorHAnsi"/>
          <w:b/>
          <w:sz w:val="24"/>
          <w:szCs w:val="24"/>
        </w:rPr>
        <w:t xml:space="preserve"> suterén</w:t>
      </w:r>
    </w:p>
    <w:p w:rsidR="00563EBF" w:rsidRDefault="00563EBF" w:rsidP="00563EBF">
      <w:pPr>
        <w:spacing w:line="276" w:lineRule="auto"/>
        <w:jc w:val="both"/>
        <w:rPr>
          <w:rFonts w:asciiTheme="majorHAnsi" w:hAnsiTheme="majorHAnsi" w:cstheme="majorHAnsi"/>
          <w:sz w:val="24"/>
          <w:szCs w:val="24"/>
        </w:rPr>
      </w:pPr>
      <w:r w:rsidRPr="00563EBF">
        <w:rPr>
          <w:rFonts w:asciiTheme="majorHAnsi" w:hAnsiTheme="majorHAnsi" w:cstheme="majorHAnsi"/>
          <w:sz w:val="24"/>
          <w:szCs w:val="24"/>
        </w:rPr>
        <w:t xml:space="preserve">Toaleta se nachází v suterénu, ve staré budově. Předsíň není součástí. Kabina je samostatná, uzamčena klíčem, není tedy možné použít </w:t>
      </w:r>
      <w:proofErr w:type="spellStart"/>
      <w:r w:rsidRPr="00563EBF">
        <w:rPr>
          <w:rFonts w:asciiTheme="majorHAnsi" w:hAnsiTheme="majorHAnsi" w:cstheme="majorHAnsi"/>
          <w:sz w:val="24"/>
          <w:szCs w:val="24"/>
        </w:rPr>
        <w:t>Euroklíč</w:t>
      </w:r>
      <w:proofErr w:type="spellEnd"/>
      <w:r w:rsidRPr="00563EBF">
        <w:rPr>
          <w:rFonts w:asciiTheme="majorHAnsi" w:hAnsiTheme="majorHAnsi" w:cstheme="majorHAnsi"/>
          <w:sz w:val="24"/>
          <w:szCs w:val="24"/>
        </w:rPr>
        <w:t>. Dveře se otvírají směrem vně (š. 90 cm), na vnitřní straně se nachází madlo, není aktuálně připevněno. Součástí kabiny</w:t>
      </w:r>
      <w:r>
        <w:rPr>
          <w:rFonts w:asciiTheme="majorHAnsi" w:hAnsiTheme="majorHAnsi" w:cstheme="majorHAnsi"/>
          <w:sz w:val="24"/>
          <w:szCs w:val="24"/>
        </w:rPr>
        <w:t xml:space="preserve"> (š. 194 cm, hloubka </w:t>
      </w:r>
      <w:r w:rsidRPr="00563EBF">
        <w:rPr>
          <w:rFonts w:asciiTheme="majorHAnsi" w:hAnsiTheme="majorHAnsi" w:cstheme="majorHAnsi"/>
          <w:sz w:val="24"/>
          <w:szCs w:val="24"/>
        </w:rPr>
        <w:t>163 cm) je vypínač (v. 96 cm). Vzdálenost od levého boku mísy k levé stěně je 22 cm, vzdálenost od pravého boku mísy k pravé stěně je 132 cm, výška sedátka je 52 cm, odsazení WC mísy od zadní stěny je 18</w:t>
      </w:r>
      <w:r w:rsidR="00914FF7">
        <w:rPr>
          <w:rFonts w:asciiTheme="majorHAnsi" w:hAnsiTheme="majorHAnsi" w:cstheme="majorHAnsi"/>
          <w:sz w:val="24"/>
          <w:szCs w:val="24"/>
        </w:rPr>
        <w:t xml:space="preserve"> </w:t>
      </w:r>
      <w:r w:rsidRPr="00563EBF">
        <w:rPr>
          <w:rFonts w:asciiTheme="majorHAnsi" w:hAnsiTheme="majorHAnsi" w:cstheme="majorHAnsi"/>
          <w:sz w:val="24"/>
          <w:szCs w:val="24"/>
        </w:rPr>
        <w:t xml:space="preserve">cm, prostor pro vozík vedle WC mísy je úplně volný, toaletní papír je v dosahu z mísy. Splachování toalety se nachází vzadu, mechanické a v pořádku. Výška splachovadla je 113 cm. Madla oboustranná </w:t>
      </w:r>
      <w:r w:rsidR="00914FF7">
        <w:rPr>
          <w:rFonts w:asciiTheme="majorHAnsi" w:hAnsiTheme="majorHAnsi" w:cstheme="majorHAnsi"/>
          <w:sz w:val="24"/>
          <w:szCs w:val="24"/>
        </w:rPr>
        <w:t>–</w:t>
      </w:r>
      <w:r w:rsidRPr="00563EBF">
        <w:rPr>
          <w:rFonts w:asciiTheme="majorHAnsi" w:hAnsiTheme="majorHAnsi" w:cstheme="majorHAnsi"/>
          <w:sz w:val="24"/>
          <w:szCs w:val="24"/>
        </w:rPr>
        <w:t xml:space="preserve"> madlo levé pevné (délka 48 cm, výška 80 cm), madlo pravé sklopné (délka 30 cm, výška 80</w:t>
      </w:r>
      <w:r w:rsidR="00914FF7">
        <w:rPr>
          <w:rFonts w:asciiTheme="majorHAnsi" w:hAnsiTheme="majorHAnsi" w:cstheme="majorHAnsi"/>
          <w:sz w:val="24"/>
          <w:szCs w:val="24"/>
        </w:rPr>
        <w:t xml:space="preserve"> </w:t>
      </w:r>
      <w:r w:rsidRPr="00563EBF">
        <w:rPr>
          <w:rFonts w:asciiTheme="majorHAnsi" w:hAnsiTheme="majorHAnsi" w:cstheme="majorHAnsi"/>
          <w:sz w:val="24"/>
          <w:szCs w:val="24"/>
        </w:rPr>
        <w:t xml:space="preserve">cm), osová vzdálenost madel je 80 cm. Výška umístění umyvadla 84 cm, podjezd umyvadla v </w:t>
      </w:r>
      <w:r w:rsidR="00914FF7">
        <w:rPr>
          <w:rFonts w:asciiTheme="majorHAnsi" w:hAnsiTheme="majorHAnsi" w:cstheme="majorHAnsi"/>
          <w:sz w:val="24"/>
          <w:szCs w:val="24"/>
        </w:rPr>
        <w:t>hloubce 20 cm od hrany umyvadla</w:t>
      </w:r>
      <w:r w:rsidRPr="00563EBF">
        <w:rPr>
          <w:rFonts w:asciiTheme="majorHAnsi" w:hAnsiTheme="majorHAnsi" w:cstheme="majorHAnsi"/>
          <w:sz w:val="24"/>
          <w:szCs w:val="24"/>
        </w:rPr>
        <w:t xml:space="preserve"> dostatečný. Baterie páková (v. od podlahy 100 cm), madlo chybí. Na toaletě se nachází signalizační tlačítko (v. v horní úrovni je 96 cm, v. signalizace ve spodní úrovni 89 cm). V kabině není přebalovací pult. V objektu je běžné WC, označeno v Braillově písmu.</w:t>
      </w:r>
    </w:p>
    <w:p w:rsidR="00563EBF" w:rsidRPr="00563EBF" w:rsidRDefault="00563EBF" w:rsidP="00563EBF">
      <w:pPr>
        <w:spacing w:line="276" w:lineRule="auto"/>
        <w:jc w:val="both"/>
        <w:rPr>
          <w:rFonts w:asciiTheme="majorHAnsi" w:hAnsiTheme="majorHAnsi" w:cstheme="majorHAnsi"/>
          <w:sz w:val="24"/>
          <w:szCs w:val="24"/>
        </w:rPr>
      </w:pPr>
    </w:p>
    <w:p w:rsidR="00563EBF" w:rsidRPr="00563EBF" w:rsidRDefault="00563EBF" w:rsidP="00563EBF">
      <w:pPr>
        <w:numPr>
          <w:ilvl w:val="0"/>
          <w:numId w:val="3"/>
        </w:numPr>
        <w:suppressAutoHyphens/>
        <w:spacing w:line="276" w:lineRule="auto"/>
        <w:jc w:val="both"/>
        <w:rPr>
          <w:rFonts w:asciiTheme="majorHAnsi" w:hAnsiTheme="majorHAnsi" w:cstheme="majorHAnsi"/>
          <w:b/>
          <w:sz w:val="24"/>
          <w:szCs w:val="24"/>
        </w:rPr>
      </w:pPr>
      <w:r w:rsidRPr="00563EBF">
        <w:rPr>
          <w:rFonts w:asciiTheme="majorHAnsi" w:hAnsiTheme="majorHAnsi" w:cstheme="majorHAnsi"/>
          <w:b/>
          <w:sz w:val="24"/>
          <w:szCs w:val="24"/>
        </w:rPr>
        <w:t xml:space="preserve">Toaleta – umístění v nové části budovy </w:t>
      </w:r>
      <w:proofErr w:type="spellStart"/>
      <w:r w:rsidRPr="00563EBF">
        <w:rPr>
          <w:rFonts w:asciiTheme="majorHAnsi" w:hAnsiTheme="majorHAnsi" w:cstheme="majorHAnsi"/>
          <w:b/>
          <w:sz w:val="24"/>
          <w:szCs w:val="24"/>
        </w:rPr>
        <w:t>PdF</w:t>
      </w:r>
      <w:proofErr w:type="spellEnd"/>
    </w:p>
    <w:p w:rsidR="00563EBF" w:rsidRPr="00563EBF" w:rsidRDefault="00563EBF" w:rsidP="00563EBF">
      <w:pPr>
        <w:spacing w:line="276" w:lineRule="auto"/>
        <w:jc w:val="both"/>
        <w:rPr>
          <w:rFonts w:asciiTheme="majorHAnsi" w:hAnsiTheme="majorHAnsi" w:cstheme="majorHAnsi"/>
          <w:sz w:val="24"/>
          <w:szCs w:val="24"/>
        </w:rPr>
      </w:pPr>
      <w:r w:rsidRPr="00563EBF">
        <w:rPr>
          <w:rFonts w:asciiTheme="majorHAnsi" w:hAnsiTheme="majorHAnsi" w:cstheme="majorHAnsi"/>
          <w:sz w:val="24"/>
          <w:szCs w:val="24"/>
        </w:rPr>
        <w:t xml:space="preserve">Toaleta se nachází v přízemí v nové části budovy. Předsíň není součástí. Kabina je samostatná, volně přístupná. Dveře se otvírají směrem vně (š. 90 cm), na vnitřní straně madlo. Součástí kabiny (š. 183, hloubka 168 cm) je vypínač (v. 101 cm). Vzdálenost od levého boku mísy k levé stěně je 40 cm, vzdálenost od pravého boku mísy k pravé stěně je 97 cm, výška sedátka je 53 cm, odsazení WC mísy od zadní stěny je 35 cm, prostor pro vozík vedle WC mísy je úplně volný, toaletní papír je v dosahu z mísy. Splachování toalety se nachází vzadu, mechanické a je  v pořádku. Výška splachovadla je </w:t>
      </w:r>
      <w:r w:rsidR="00914FF7">
        <w:rPr>
          <w:rFonts w:asciiTheme="majorHAnsi" w:hAnsiTheme="majorHAnsi" w:cstheme="majorHAnsi"/>
          <w:sz w:val="24"/>
          <w:szCs w:val="24"/>
        </w:rPr>
        <w:t>110 cm. Madla jsou oboustranná –</w:t>
      </w:r>
      <w:r w:rsidRPr="00563EBF">
        <w:rPr>
          <w:rFonts w:asciiTheme="majorHAnsi" w:hAnsiTheme="majorHAnsi" w:cstheme="majorHAnsi"/>
          <w:sz w:val="24"/>
          <w:szCs w:val="24"/>
        </w:rPr>
        <w:t xml:space="preserve"> madlo levé pevné (d. 80 cm, v. 80 cm), madlo pravé sklopné (d. 80 cm, v. 80 cm), osová vzdálenost 62 cm. Výška umístění umyvadla je 81 cm, podjezd umyvadla v hloubce 20 cm od hrany umyvadla je dostatečný. Baterie páková (v. od podlahy 101 cm), madlo chybí. Na toaletě není signalizační tlačítko ani přebalovací pult. V objektu se nachází i běžné WC značené Braillovým písmem.</w:t>
      </w:r>
    </w:p>
    <w:p w:rsidR="00563EBF" w:rsidRPr="00563EBF" w:rsidRDefault="00563EBF" w:rsidP="00563EBF">
      <w:pPr>
        <w:spacing w:line="276" w:lineRule="auto"/>
        <w:ind w:firstLine="708"/>
        <w:jc w:val="both"/>
        <w:rPr>
          <w:rFonts w:asciiTheme="majorHAnsi" w:hAnsiTheme="majorHAnsi" w:cstheme="majorHAnsi"/>
          <w:sz w:val="24"/>
          <w:szCs w:val="24"/>
        </w:rPr>
      </w:pPr>
      <w:r w:rsidRPr="00563EBF">
        <w:rPr>
          <w:rFonts w:asciiTheme="majorHAnsi" w:hAnsiTheme="majorHAnsi" w:cstheme="majorHAnsi"/>
          <w:sz w:val="24"/>
          <w:szCs w:val="24"/>
        </w:rPr>
        <w:t xml:space="preserve">V nové budově se toaleta nachází v prvním podlaží (na úrovni vrátnice) u vchodu do auditoria a následně ve druhém, třetím a čtvrtém podlaží ve středové části budovy. Ve druhém podlaží se na toaletě nachází zvedák. </w:t>
      </w:r>
    </w:p>
    <w:p w:rsidR="004D349D" w:rsidRPr="00027CFF" w:rsidRDefault="004D349D" w:rsidP="004D349D">
      <w:pPr>
        <w:spacing w:after="0"/>
        <w:jc w:val="both"/>
        <w:rPr>
          <w:rFonts w:asciiTheme="majorHAnsi" w:hAnsiTheme="majorHAnsi"/>
        </w:rPr>
      </w:pPr>
    </w:p>
    <w:p w:rsidR="004D349D" w:rsidRDefault="004D349D" w:rsidP="004D349D">
      <w:pPr>
        <w:rPr>
          <w:rFonts w:asciiTheme="majorHAnsi" w:hAnsiTheme="majorHAnsi"/>
          <w:sz w:val="24"/>
        </w:rPr>
      </w:pPr>
    </w:p>
    <w:p w:rsidR="002F754E" w:rsidRPr="002F754E" w:rsidRDefault="002F754E" w:rsidP="002F754E">
      <w:pPr>
        <w:pStyle w:val="Heading1"/>
        <w:rPr>
          <w:b/>
        </w:rPr>
      </w:pPr>
      <w:r>
        <w:rPr>
          <w:b/>
        </w:rPr>
        <w:lastRenderedPageBreak/>
        <w:t>FOTOGALERIE</w:t>
      </w:r>
    </w:p>
    <w:p w:rsidR="002F754E" w:rsidRPr="00A61C6D" w:rsidRDefault="002F754E" w:rsidP="00563EBF">
      <w:pPr>
        <w:spacing w:line="240" w:lineRule="auto"/>
        <w:jc w:val="both"/>
        <w:rPr>
          <w:rFonts w:asciiTheme="majorHAnsi" w:hAnsiTheme="majorHAnsi" w:cstheme="majorHAnsi"/>
          <w:sz w:val="24"/>
          <w:szCs w:val="24"/>
        </w:rPr>
      </w:pPr>
      <w:r w:rsidRPr="00A61C6D">
        <w:rPr>
          <w:rFonts w:asciiTheme="majorHAnsi" w:hAnsiTheme="majorHAnsi" w:cstheme="majorHAnsi"/>
          <w:sz w:val="24"/>
          <w:szCs w:val="24"/>
        </w:rPr>
        <w:t xml:space="preserve">Obrázek 1. </w:t>
      </w:r>
      <w:r w:rsidRPr="00A61C6D">
        <w:rPr>
          <w:rFonts w:asciiTheme="majorHAnsi" w:hAnsiTheme="majorHAnsi" w:cstheme="majorHAnsi"/>
          <w:sz w:val="24"/>
          <w:szCs w:val="24"/>
        </w:rPr>
        <w:tab/>
      </w:r>
      <w:r w:rsidR="00A61C6D" w:rsidRPr="00A15FE2">
        <w:rPr>
          <w:rFonts w:asciiTheme="majorHAnsi" w:hAnsiTheme="majorHAnsi" w:cstheme="majorHAnsi"/>
          <w:b/>
          <w:sz w:val="24"/>
          <w:szCs w:val="24"/>
        </w:rPr>
        <w:t>Hlavní vchod do budovy</w:t>
      </w:r>
    </w:p>
    <w:p w:rsidR="00A61C6D" w:rsidRPr="00A61C6D" w:rsidRDefault="00A61C6D" w:rsidP="00563EBF">
      <w:pPr>
        <w:spacing w:line="240" w:lineRule="auto"/>
        <w:jc w:val="both"/>
        <w:rPr>
          <w:rFonts w:asciiTheme="majorHAnsi" w:hAnsiTheme="majorHAnsi" w:cstheme="majorHAnsi"/>
          <w:b/>
          <w:sz w:val="24"/>
          <w:szCs w:val="24"/>
        </w:rPr>
      </w:pPr>
      <w:r w:rsidRPr="00A61C6D">
        <w:rPr>
          <w:rFonts w:asciiTheme="majorHAnsi" w:hAnsiTheme="majorHAnsi" w:cstheme="majorHAnsi"/>
          <w:noProof/>
          <w:sz w:val="24"/>
          <w:szCs w:val="24"/>
          <w:lang w:eastAsia="cs-CZ"/>
        </w:rPr>
        <w:drawing>
          <wp:inline distT="0" distB="0" distL="0" distR="0">
            <wp:extent cx="3600000" cy="2704663"/>
            <wp:effectExtent l="0" t="0" r="635"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4663"/>
                    </a:xfrm>
                    <a:prstGeom prst="rect">
                      <a:avLst/>
                    </a:prstGeom>
                    <a:noFill/>
                    <a:ln>
                      <a:noFill/>
                    </a:ln>
                  </pic:spPr>
                </pic:pic>
              </a:graphicData>
            </a:graphic>
          </wp:inline>
        </w:drawing>
      </w:r>
    </w:p>
    <w:p w:rsidR="00A61C6D" w:rsidRPr="00A61C6D" w:rsidRDefault="00A61C6D" w:rsidP="00563EBF">
      <w:pPr>
        <w:spacing w:line="240" w:lineRule="auto"/>
        <w:jc w:val="both"/>
        <w:rPr>
          <w:rFonts w:asciiTheme="majorHAnsi" w:hAnsiTheme="majorHAnsi" w:cstheme="majorHAnsi"/>
          <w:b/>
          <w:sz w:val="24"/>
          <w:szCs w:val="24"/>
        </w:rPr>
      </w:pPr>
    </w:p>
    <w:p w:rsidR="00563EBF" w:rsidRPr="00A61C6D" w:rsidRDefault="00A61C6D" w:rsidP="00563EBF">
      <w:pPr>
        <w:spacing w:line="240" w:lineRule="auto"/>
        <w:jc w:val="both"/>
        <w:rPr>
          <w:rFonts w:asciiTheme="majorHAnsi" w:hAnsiTheme="majorHAnsi" w:cstheme="majorHAnsi"/>
          <w:b/>
          <w:sz w:val="24"/>
          <w:szCs w:val="24"/>
        </w:rPr>
      </w:pPr>
      <w:r w:rsidRPr="00A61C6D">
        <w:rPr>
          <w:rFonts w:asciiTheme="majorHAnsi" w:hAnsiTheme="majorHAnsi" w:cstheme="majorHAnsi"/>
          <w:sz w:val="24"/>
          <w:szCs w:val="24"/>
        </w:rPr>
        <w:t>Obrázek 2.</w:t>
      </w:r>
      <w:r w:rsidRPr="00A61C6D">
        <w:rPr>
          <w:rFonts w:asciiTheme="majorHAnsi" w:hAnsiTheme="majorHAnsi" w:cstheme="majorHAnsi"/>
          <w:b/>
          <w:sz w:val="24"/>
          <w:szCs w:val="24"/>
        </w:rPr>
        <w:t xml:space="preserve"> </w:t>
      </w:r>
      <w:r w:rsidRPr="00A61C6D">
        <w:rPr>
          <w:rFonts w:asciiTheme="majorHAnsi" w:hAnsiTheme="majorHAnsi" w:cstheme="majorHAnsi"/>
          <w:b/>
          <w:sz w:val="24"/>
          <w:szCs w:val="24"/>
        </w:rPr>
        <w:tab/>
        <w:t>Bezbariérové parkování u hlavního vchodu</w:t>
      </w:r>
    </w:p>
    <w:p w:rsidR="00A61C6D" w:rsidRPr="00A61C6D" w:rsidRDefault="00A61C6D" w:rsidP="00563EBF">
      <w:pPr>
        <w:spacing w:line="240" w:lineRule="auto"/>
        <w:jc w:val="both"/>
        <w:rPr>
          <w:rFonts w:asciiTheme="majorHAnsi" w:hAnsiTheme="majorHAnsi" w:cstheme="majorHAnsi"/>
          <w:b/>
          <w:sz w:val="24"/>
          <w:szCs w:val="24"/>
        </w:rPr>
      </w:pPr>
      <w:r w:rsidRPr="00A61C6D">
        <w:rPr>
          <w:rFonts w:asciiTheme="majorHAnsi" w:hAnsiTheme="majorHAnsi" w:cstheme="majorHAnsi"/>
          <w:b/>
          <w:noProof/>
          <w:sz w:val="24"/>
          <w:szCs w:val="24"/>
          <w:lang w:eastAsia="cs-CZ"/>
        </w:rPr>
        <w:drawing>
          <wp:inline distT="0" distB="0" distL="0" distR="0">
            <wp:extent cx="3600000" cy="2812200"/>
            <wp:effectExtent l="0" t="0" r="635" b="7620"/>
            <wp:docPr id="18" name="Obrázek 18" descr="20150810_08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810_0856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812200"/>
                    </a:xfrm>
                    <a:prstGeom prst="rect">
                      <a:avLst/>
                    </a:prstGeom>
                    <a:noFill/>
                    <a:ln>
                      <a:noFill/>
                    </a:ln>
                  </pic:spPr>
                </pic:pic>
              </a:graphicData>
            </a:graphic>
          </wp:inline>
        </w:drawing>
      </w:r>
    </w:p>
    <w:p w:rsidR="002F754E" w:rsidRPr="00A61C6D" w:rsidRDefault="002F754E" w:rsidP="00563EBF">
      <w:pPr>
        <w:spacing w:after="0" w:line="240" w:lineRule="auto"/>
        <w:jc w:val="both"/>
        <w:rPr>
          <w:rFonts w:asciiTheme="majorHAnsi" w:hAnsiTheme="majorHAnsi" w:cstheme="majorHAnsi"/>
          <w:sz w:val="24"/>
          <w:szCs w:val="24"/>
        </w:rPr>
      </w:pPr>
    </w:p>
    <w:p w:rsidR="002F754E" w:rsidRDefault="002F754E"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lastRenderedPageBreak/>
        <w:t xml:space="preserve">Obrázek 3. </w:t>
      </w:r>
      <w:r>
        <w:rPr>
          <w:rFonts w:asciiTheme="majorHAnsi" w:hAnsiTheme="majorHAnsi" w:cstheme="majorHAnsi"/>
          <w:sz w:val="24"/>
          <w:szCs w:val="24"/>
        </w:rPr>
        <w:tab/>
      </w:r>
      <w:r w:rsidRPr="00A15FE2">
        <w:rPr>
          <w:rFonts w:asciiTheme="majorHAnsi" w:hAnsiTheme="majorHAnsi" w:cstheme="majorHAnsi"/>
          <w:b/>
          <w:sz w:val="24"/>
          <w:szCs w:val="24"/>
        </w:rPr>
        <w:t>Plošina u hlavního vchodu</w:t>
      </w: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noProof/>
          <w:sz w:val="24"/>
          <w:szCs w:val="24"/>
          <w:lang w:eastAsia="cs-CZ"/>
        </w:rPr>
        <w:drawing>
          <wp:inline distT="0" distB="0" distL="0" distR="0">
            <wp:extent cx="2023811" cy="3600000"/>
            <wp:effectExtent l="0" t="0" r="0" b="635"/>
            <wp:docPr id="19" name="Obrázek 19" descr="20150810_09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810_0908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3811" cy="3600000"/>
                    </a:xfrm>
                    <a:prstGeom prst="rect">
                      <a:avLst/>
                    </a:prstGeom>
                    <a:noFill/>
                    <a:ln>
                      <a:noFill/>
                    </a:ln>
                  </pic:spPr>
                </pic:pic>
              </a:graphicData>
            </a:graphic>
          </wp:inline>
        </w:drawing>
      </w: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4. </w:t>
      </w:r>
      <w:r>
        <w:rPr>
          <w:rFonts w:asciiTheme="majorHAnsi" w:hAnsiTheme="majorHAnsi" w:cstheme="majorHAnsi"/>
          <w:sz w:val="24"/>
          <w:szCs w:val="24"/>
        </w:rPr>
        <w:tab/>
      </w:r>
      <w:r w:rsidRPr="00A15FE2">
        <w:rPr>
          <w:rFonts w:asciiTheme="majorHAnsi" w:hAnsiTheme="majorHAnsi" w:cstheme="majorHAnsi"/>
          <w:b/>
          <w:sz w:val="24"/>
          <w:szCs w:val="24"/>
        </w:rPr>
        <w:t>Plošina – pohled shora</w:t>
      </w: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noProof/>
          <w:sz w:val="24"/>
          <w:szCs w:val="24"/>
          <w:lang w:eastAsia="cs-CZ"/>
        </w:rPr>
        <w:drawing>
          <wp:inline distT="0" distB="0" distL="0" distR="0">
            <wp:extent cx="3648729" cy="3600000"/>
            <wp:effectExtent l="0" t="0" r="8890" b="635"/>
            <wp:docPr id="20" name="Obrázek 20" descr="20150810_09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810_0925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8729" cy="3600000"/>
                    </a:xfrm>
                    <a:prstGeom prst="rect">
                      <a:avLst/>
                    </a:prstGeom>
                    <a:noFill/>
                    <a:ln>
                      <a:noFill/>
                    </a:ln>
                  </pic:spPr>
                </pic:pic>
              </a:graphicData>
            </a:graphic>
          </wp:inline>
        </w:drawing>
      </w: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lastRenderedPageBreak/>
        <w:t xml:space="preserve">Obrázek 5. </w:t>
      </w:r>
      <w:r>
        <w:rPr>
          <w:rFonts w:asciiTheme="majorHAnsi" w:hAnsiTheme="majorHAnsi" w:cstheme="majorHAnsi"/>
          <w:sz w:val="24"/>
          <w:szCs w:val="24"/>
        </w:rPr>
        <w:tab/>
      </w:r>
      <w:r w:rsidRPr="00A15FE2">
        <w:rPr>
          <w:rFonts w:asciiTheme="majorHAnsi" w:hAnsiTheme="majorHAnsi" w:cstheme="majorHAnsi"/>
          <w:b/>
          <w:sz w:val="24"/>
          <w:szCs w:val="24"/>
        </w:rPr>
        <w:t>Nájezd u hlavního vchodu</w:t>
      </w:r>
    </w:p>
    <w:p w:rsidR="00A61C6D" w:rsidRPr="00A61C6D" w:rsidRDefault="00A61C6D" w:rsidP="002F754E">
      <w:pPr>
        <w:spacing w:after="0"/>
        <w:jc w:val="both"/>
        <w:rPr>
          <w:rFonts w:asciiTheme="majorHAnsi" w:hAnsiTheme="majorHAnsi" w:cstheme="majorHAnsi"/>
          <w:sz w:val="24"/>
          <w:szCs w:val="24"/>
        </w:rPr>
      </w:pPr>
      <w:r>
        <w:rPr>
          <w:rFonts w:asciiTheme="majorHAnsi" w:hAnsiTheme="majorHAnsi" w:cstheme="majorHAnsi"/>
          <w:noProof/>
          <w:sz w:val="24"/>
          <w:szCs w:val="24"/>
          <w:lang w:eastAsia="cs-CZ"/>
        </w:rPr>
        <w:drawing>
          <wp:inline distT="0" distB="0" distL="0" distR="0">
            <wp:extent cx="2278131" cy="3600000"/>
            <wp:effectExtent l="0" t="0" r="8255" b="635"/>
            <wp:docPr id="21" name="Obrázek 21" descr="20150810_09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0810_0930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8131"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6. </w:t>
      </w:r>
      <w:r>
        <w:rPr>
          <w:rFonts w:asciiTheme="majorHAnsi" w:hAnsiTheme="majorHAnsi" w:cstheme="majorHAnsi"/>
          <w:sz w:val="24"/>
          <w:szCs w:val="24"/>
        </w:rPr>
        <w:tab/>
      </w:r>
      <w:r w:rsidRPr="00A15FE2">
        <w:rPr>
          <w:rFonts w:asciiTheme="majorHAnsi" w:hAnsiTheme="majorHAnsi" w:cstheme="majorHAnsi"/>
          <w:b/>
          <w:sz w:val="24"/>
          <w:szCs w:val="24"/>
        </w:rPr>
        <w:t>Přístup do suterénu po vstupu hlavním vchodem</w:t>
      </w:r>
    </w:p>
    <w:p w:rsidR="00A61C6D" w:rsidRDefault="00A61C6D" w:rsidP="002F754E">
      <w:pPr>
        <w:spacing w:after="0"/>
        <w:jc w:val="both"/>
        <w:rPr>
          <w:rFonts w:asciiTheme="majorHAnsi" w:hAnsiTheme="majorHAnsi" w:cstheme="majorHAnsi"/>
          <w:sz w:val="24"/>
          <w:szCs w:val="24"/>
        </w:rPr>
      </w:pPr>
      <w:r>
        <w:rPr>
          <w:noProof/>
          <w:lang w:eastAsia="cs-CZ"/>
        </w:rPr>
        <w:drawing>
          <wp:inline distT="0" distB="0" distL="0" distR="0">
            <wp:extent cx="2420690" cy="3600000"/>
            <wp:effectExtent l="0" t="0" r="0" b="63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0690" cy="3600000"/>
                    </a:xfrm>
                    <a:prstGeom prst="rect">
                      <a:avLst/>
                    </a:prstGeom>
                    <a:noFill/>
                    <a:ln>
                      <a:noFill/>
                    </a:ln>
                  </pic:spPr>
                </pic:pic>
              </a:graphicData>
            </a:graphic>
          </wp:inline>
        </w:drawing>
      </w: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lastRenderedPageBreak/>
        <w:t xml:space="preserve">Obrázek 7. </w:t>
      </w:r>
      <w:r>
        <w:rPr>
          <w:rFonts w:asciiTheme="majorHAnsi" w:hAnsiTheme="majorHAnsi" w:cstheme="majorHAnsi"/>
          <w:sz w:val="24"/>
          <w:szCs w:val="24"/>
        </w:rPr>
        <w:tab/>
      </w:r>
      <w:r w:rsidRPr="00A15FE2">
        <w:rPr>
          <w:rFonts w:asciiTheme="majorHAnsi" w:hAnsiTheme="majorHAnsi" w:cstheme="majorHAnsi"/>
          <w:b/>
          <w:sz w:val="24"/>
          <w:szCs w:val="24"/>
        </w:rPr>
        <w:t>Plošina do suterénu – k výtahu</w:t>
      </w:r>
    </w:p>
    <w:p w:rsidR="00A61C6D" w:rsidRDefault="00A61C6D" w:rsidP="002F754E">
      <w:pPr>
        <w:spacing w:after="0"/>
        <w:jc w:val="both"/>
        <w:rPr>
          <w:rFonts w:asciiTheme="majorHAnsi" w:hAnsiTheme="majorHAnsi" w:cstheme="majorHAnsi"/>
          <w:sz w:val="24"/>
          <w:szCs w:val="24"/>
        </w:rPr>
      </w:pPr>
      <w:r>
        <w:rPr>
          <w:noProof/>
          <w:lang w:eastAsia="cs-CZ"/>
        </w:rPr>
        <w:drawing>
          <wp:inline distT="0" distB="0" distL="0" distR="0">
            <wp:extent cx="2700000" cy="3600000"/>
            <wp:effectExtent l="0" t="0" r="5715" b="63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8. </w:t>
      </w:r>
      <w:r>
        <w:rPr>
          <w:rFonts w:asciiTheme="majorHAnsi" w:hAnsiTheme="majorHAnsi" w:cstheme="majorHAnsi"/>
          <w:sz w:val="24"/>
          <w:szCs w:val="24"/>
        </w:rPr>
        <w:tab/>
      </w:r>
      <w:r w:rsidRPr="00A15FE2">
        <w:rPr>
          <w:rFonts w:asciiTheme="majorHAnsi" w:hAnsiTheme="majorHAnsi" w:cstheme="majorHAnsi"/>
          <w:b/>
          <w:sz w:val="24"/>
          <w:szCs w:val="24"/>
        </w:rPr>
        <w:t>Výtah v suterénu budovy</w:t>
      </w:r>
    </w:p>
    <w:p w:rsidR="00A61C6D" w:rsidRPr="00A61C6D" w:rsidRDefault="00A61C6D" w:rsidP="002F754E">
      <w:pPr>
        <w:spacing w:after="0"/>
        <w:jc w:val="both"/>
        <w:rPr>
          <w:rFonts w:asciiTheme="majorHAnsi" w:hAnsiTheme="majorHAnsi" w:cstheme="majorHAnsi"/>
          <w:sz w:val="24"/>
          <w:szCs w:val="24"/>
        </w:rPr>
      </w:pPr>
      <w:r>
        <w:rPr>
          <w:noProof/>
          <w:lang w:eastAsia="cs-CZ"/>
        </w:rPr>
        <w:drawing>
          <wp:inline distT="0" distB="0" distL="0" distR="0">
            <wp:extent cx="2341388" cy="3600000"/>
            <wp:effectExtent l="0" t="0" r="1905"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1388" cy="3600000"/>
                    </a:xfrm>
                    <a:prstGeom prst="rect">
                      <a:avLst/>
                    </a:prstGeom>
                    <a:noFill/>
                    <a:ln>
                      <a:noFill/>
                    </a:ln>
                  </pic:spPr>
                </pic:pic>
              </a:graphicData>
            </a:graphic>
          </wp:inline>
        </w:drawing>
      </w:r>
    </w:p>
    <w:p w:rsidR="002F754E" w:rsidRDefault="002F754E"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lastRenderedPageBreak/>
        <w:t xml:space="preserve">Obrázek 9. </w:t>
      </w:r>
      <w:r>
        <w:rPr>
          <w:rFonts w:asciiTheme="majorHAnsi" w:hAnsiTheme="majorHAnsi" w:cstheme="majorHAnsi"/>
          <w:sz w:val="24"/>
          <w:szCs w:val="24"/>
        </w:rPr>
        <w:tab/>
      </w:r>
      <w:r w:rsidRPr="00A61C6D">
        <w:rPr>
          <w:rFonts w:asciiTheme="majorHAnsi" w:hAnsiTheme="majorHAnsi" w:cstheme="majorHAnsi"/>
          <w:b/>
          <w:sz w:val="24"/>
          <w:szCs w:val="24"/>
        </w:rPr>
        <w:t>Bezbariérová toaleta v suterénu budovy</w:t>
      </w:r>
      <w:r>
        <w:rPr>
          <w:rFonts w:asciiTheme="majorHAnsi" w:hAnsiTheme="majorHAnsi" w:cstheme="majorHAnsi"/>
          <w:b/>
          <w:sz w:val="24"/>
          <w:szCs w:val="24"/>
        </w:rPr>
        <w:t xml:space="preserve"> – pohled na dveře</w:t>
      </w:r>
    </w:p>
    <w:p w:rsidR="00A61C6D" w:rsidRDefault="00A61C6D" w:rsidP="002F754E">
      <w:pPr>
        <w:spacing w:after="0"/>
        <w:jc w:val="both"/>
        <w:rPr>
          <w:rFonts w:asciiTheme="majorHAnsi" w:hAnsiTheme="majorHAnsi" w:cstheme="majorHAnsi"/>
          <w:sz w:val="24"/>
          <w:szCs w:val="24"/>
        </w:rPr>
      </w:pPr>
      <w:r>
        <w:rPr>
          <w:noProof/>
          <w:lang w:eastAsia="cs-CZ"/>
        </w:rPr>
        <w:drawing>
          <wp:inline distT="0" distB="0" distL="0" distR="0">
            <wp:extent cx="2750820" cy="350520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0820" cy="3505200"/>
                    </a:xfrm>
                    <a:prstGeom prst="rect">
                      <a:avLst/>
                    </a:prstGeom>
                    <a:noFill/>
                    <a:ln>
                      <a:noFill/>
                    </a:ln>
                  </pic:spPr>
                </pic:pic>
              </a:graphicData>
            </a:graphic>
          </wp:inline>
        </w:drawing>
      </w: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t>Obrázek 10.</w:t>
      </w:r>
      <w:r>
        <w:rPr>
          <w:rFonts w:asciiTheme="majorHAnsi" w:hAnsiTheme="majorHAnsi" w:cstheme="majorHAnsi"/>
          <w:sz w:val="24"/>
          <w:szCs w:val="24"/>
        </w:rPr>
        <w:tab/>
      </w:r>
      <w:r>
        <w:rPr>
          <w:rFonts w:asciiTheme="majorHAnsi" w:hAnsiTheme="majorHAnsi" w:cstheme="majorHAnsi"/>
          <w:sz w:val="24"/>
          <w:szCs w:val="24"/>
        </w:rPr>
        <w:tab/>
      </w:r>
      <w:r w:rsidRPr="00A15FE2">
        <w:rPr>
          <w:rFonts w:asciiTheme="majorHAnsi" w:hAnsiTheme="majorHAnsi" w:cstheme="majorHAnsi"/>
          <w:b/>
          <w:sz w:val="24"/>
          <w:szCs w:val="24"/>
        </w:rPr>
        <w:t>Bezbariérová toaleta v suterénu budovy</w:t>
      </w: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noProof/>
          <w:sz w:val="24"/>
          <w:szCs w:val="24"/>
          <w:lang w:eastAsia="cs-CZ"/>
        </w:rPr>
        <w:drawing>
          <wp:inline distT="0" distB="0" distL="0" distR="0">
            <wp:extent cx="3600000" cy="2450197"/>
            <wp:effectExtent l="0" t="0" r="635" b="7620"/>
            <wp:docPr id="26" name="Obrázek 26" descr="20150810_13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810_1307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0" cy="2450197"/>
                    </a:xfrm>
                    <a:prstGeom prst="rect">
                      <a:avLst/>
                    </a:prstGeom>
                    <a:noFill/>
                    <a:ln>
                      <a:noFill/>
                    </a:ln>
                  </pic:spPr>
                </pic:pic>
              </a:graphicData>
            </a:graphic>
          </wp:inline>
        </w:drawing>
      </w: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lastRenderedPageBreak/>
        <w:t>Obrázek 11.</w:t>
      </w:r>
      <w:r>
        <w:rPr>
          <w:rFonts w:asciiTheme="majorHAnsi" w:hAnsiTheme="majorHAnsi" w:cstheme="majorHAnsi"/>
          <w:sz w:val="24"/>
          <w:szCs w:val="24"/>
        </w:rPr>
        <w:tab/>
      </w:r>
      <w:r w:rsidRPr="00A15FE2">
        <w:rPr>
          <w:rFonts w:asciiTheme="majorHAnsi" w:hAnsiTheme="majorHAnsi" w:cstheme="majorHAnsi"/>
          <w:b/>
          <w:sz w:val="24"/>
          <w:szCs w:val="24"/>
        </w:rPr>
        <w:t>Vedlejší vstup do nové části budovy – pohled na bránu</w:t>
      </w: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noProof/>
          <w:sz w:val="24"/>
          <w:szCs w:val="24"/>
          <w:lang w:eastAsia="cs-CZ"/>
        </w:rPr>
        <w:drawing>
          <wp:inline distT="0" distB="0" distL="0" distR="0">
            <wp:extent cx="3600000" cy="2021844"/>
            <wp:effectExtent l="0" t="0" r="635" b="0"/>
            <wp:docPr id="28" name="Obrázek 28" descr="20150810_10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810_1059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0" cy="2021844"/>
                    </a:xfrm>
                    <a:prstGeom prst="rect">
                      <a:avLst/>
                    </a:prstGeom>
                    <a:noFill/>
                    <a:ln>
                      <a:noFill/>
                    </a:ln>
                  </pic:spPr>
                </pic:pic>
              </a:graphicData>
            </a:graphic>
          </wp:inline>
        </w:drawing>
      </w: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12. </w:t>
      </w:r>
      <w:r>
        <w:rPr>
          <w:rFonts w:asciiTheme="majorHAnsi" w:hAnsiTheme="majorHAnsi" w:cstheme="majorHAnsi"/>
          <w:sz w:val="24"/>
          <w:szCs w:val="24"/>
        </w:rPr>
        <w:tab/>
      </w:r>
      <w:r w:rsidRPr="00A15FE2">
        <w:rPr>
          <w:rFonts w:asciiTheme="majorHAnsi" w:hAnsiTheme="majorHAnsi" w:cstheme="majorHAnsi"/>
          <w:b/>
          <w:sz w:val="24"/>
          <w:szCs w:val="24"/>
        </w:rPr>
        <w:t>Vyhrazené parkovací stání ve dvoře budovy</w:t>
      </w: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noProof/>
          <w:sz w:val="24"/>
          <w:szCs w:val="24"/>
          <w:lang w:eastAsia="cs-CZ"/>
        </w:rPr>
        <w:drawing>
          <wp:inline distT="0" distB="0" distL="0" distR="0">
            <wp:extent cx="3600000" cy="2023870"/>
            <wp:effectExtent l="0" t="0" r="635" b="0"/>
            <wp:docPr id="29" name="Obrázek 29" descr="20150810_10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810_1059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2023870"/>
                    </a:xfrm>
                    <a:prstGeom prst="rect">
                      <a:avLst/>
                    </a:prstGeom>
                    <a:noFill/>
                    <a:ln>
                      <a:noFill/>
                    </a:ln>
                  </pic:spPr>
                </pic:pic>
              </a:graphicData>
            </a:graphic>
          </wp:inline>
        </w:drawing>
      </w:r>
    </w:p>
    <w:p w:rsidR="00A61C6D" w:rsidRDefault="00A61C6D" w:rsidP="002F754E">
      <w:pPr>
        <w:spacing w:after="0"/>
        <w:jc w:val="both"/>
        <w:rPr>
          <w:rFonts w:asciiTheme="majorHAnsi" w:hAnsiTheme="majorHAnsi" w:cstheme="majorHAnsi"/>
          <w:sz w:val="24"/>
          <w:szCs w:val="24"/>
        </w:rPr>
      </w:pPr>
    </w:p>
    <w:p w:rsidR="00A61C6D" w:rsidRDefault="00A61C6D" w:rsidP="002F754E">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13. </w:t>
      </w:r>
      <w:r>
        <w:rPr>
          <w:rFonts w:asciiTheme="majorHAnsi" w:hAnsiTheme="majorHAnsi" w:cstheme="majorHAnsi"/>
          <w:sz w:val="24"/>
          <w:szCs w:val="24"/>
        </w:rPr>
        <w:tab/>
      </w:r>
      <w:r w:rsidR="00300223" w:rsidRPr="00A15FE2">
        <w:rPr>
          <w:rFonts w:asciiTheme="majorHAnsi" w:hAnsiTheme="majorHAnsi" w:cstheme="majorHAnsi"/>
          <w:b/>
          <w:sz w:val="24"/>
          <w:szCs w:val="24"/>
        </w:rPr>
        <w:t>Vstup bočním vchodem – ze dvora</w:t>
      </w:r>
    </w:p>
    <w:p w:rsidR="00300223" w:rsidRDefault="00300223" w:rsidP="002F754E">
      <w:pPr>
        <w:spacing w:after="0"/>
        <w:jc w:val="both"/>
        <w:rPr>
          <w:rFonts w:asciiTheme="majorHAnsi" w:hAnsiTheme="majorHAnsi" w:cstheme="majorHAnsi"/>
          <w:sz w:val="24"/>
          <w:szCs w:val="24"/>
        </w:rPr>
      </w:pPr>
      <w:r>
        <w:rPr>
          <w:rFonts w:asciiTheme="majorHAnsi" w:hAnsiTheme="majorHAnsi" w:cstheme="majorHAnsi"/>
          <w:noProof/>
          <w:sz w:val="24"/>
          <w:szCs w:val="24"/>
          <w:lang w:eastAsia="cs-CZ"/>
        </w:rPr>
        <w:drawing>
          <wp:inline distT="0" distB="0" distL="0" distR="0">
            <wp:extent cx="5051425" cy="2836545"/>
            <wp:effectExtent l="0" t="0" r="0" b="1905"/>
            <wp:docPr id="30" name="Obrázek 30" descr="20150810_1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810_1112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1425" cy="2836545"/>
                    </a:xfrm>
                    <a:prstGeom prst="rect">
                      <a:avLst/>
                    </a:prstGeom>
                    <a:noFill/>
                    <a:ln>
                      <a:noFill/>
                    </a:ln>
                  </pic:spPr>
                </pic:pic>
              </a:graphicData>
            </a:graphic>
          </wp:inline>
        </w:drawing>
      </w:r>
    </w:p>
    <w:p w:rsidR="00300223" w:rsidRDefault="00300223" w:rsidP="002F754E">
      <w:pPr>
        <w:spacing w:after="0"/>
        <w:jc w:val="both"/>
        <w:rPr>
          <w:rFonts w:asciiTheme="majorHAnsi" w:hAnsiTheme="majorHAnsi" w:cstheme="majorHAnsi"/>
          <w:sz w:val="24"/>
          <w:szCs w:val="24"/>
        </w:rPr>
      </w:pPr>
      <w:r>
        <w:rPr>
          <w:rFonts w:asciiTheme="majorHAnsi" w:hAnsiTheme="majorHAnsi" w:cstheme="majorHAnsi"/>
          <w:sz w:val="24"/>
          <w:szCs w:val="24"/>
        </w:rPr>
        <w:lastRenderedPageBreak/>
        <w:t xml:space="preserve">Obrázek 14. </w:t>
      </w:r>
      <w:r>
        <w:rPr>
          <w:rFonts w:asciiTheme="majorHAnsi" w:hAnsiTheme="majorHAnsi" w:cstheme="majorHAnsi"/>
          <w:sz w:val="24"/>
          <w:szCs w:val="24"/>
        </w:rPr>
        <w:tab/>
      </w:r>
      <w:r w:rsidR="009A22DE" w:rsidRPr="00A15FE2">
        <w:rPr>
          <w:rFonts w:asciiTheme="majorHAnsi" w:hAnsiTheme="majorHAnsi" w:cstheme="majorHAnsi"/>
          <w:b/>
          <w:sz w:val="24"/>
          <w:szCs w:val="24"/>
        </w:rPr>
        <w:t>Výtah v nové části budovy</w:t>
      </w:r>
    </w:p>
    <w:p w:rsidR="009A22DE" w:rsidRDefault="009A22DE" w:rsidP="002F754E">
      <w:pPr>
        <w:spacing w:after="0"/>
        <w:jc w:val="both"/>
        <w:rPr>
          <w:rFonts w:asciiTheme="majorHAnsi" w:hAnsiTheme="majorHAnsi" w:cstheme="majorHAnsi"/>
          <w:sz w:val="24"/>
          <w:szCs w:val="24"/>
        </w:rPr>
      </w:pPr>
      <w:r>
        <w:rPr>
          <w:noProof/>
          <w:lang w:eastAsia="cs-CZ"/>
        </w:rPr>
        <w:drawing>
          <wp:inline distT="0" distB="0" distL="0" distR="0">
            <wp:extent cx="2700000" cy="3600000"/>
            <wp:effectExtent l="0" t="0" r="5715" b="63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9A22DE" w:rsidRDefault="009A22DE" w:rsidP="002F754E">
      <w:pPr>
        <w:spacing w:after="0"/>
        <w:jc w:val="both"/>
        <w:rPr>
          <w:rFonts w:asciiTheme="majorHAnsi" w:hAnsiTheme="majorHAnsi" w:cstheme="majorHAnsi"/>
          <w:sz w:val="24"/>
          <w:szCs w:val="24"/>
        </w:rPr>
      </w:pPr>
    </w:p>
    <w:p w:rsidR="009A22DE" w:rsidRDefault="009A22DE" w:rsidP="002F754E">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15. </w:t>
      </w:r>
      <w:r>
        <w:rPr>
          <w:rFonts w:asciiTheme="majorHAnsi" w:hAnsiTheme="majorHAnsi" w:cstheme="majorHAnsi"/>
          <w:sz w:val="24"/>
          <w:szCs w:val="24"/>
        </w:rPr>
        <w:tab/>
      </w:r>
      <w:r w:rsidRPr="00A15FE2">
        <w:rPr>
          <w:rFonts w:asciiTheme="majorHAnsi" w:hAnsiTheme="majorHAnsi" w:cstheme="majorHAnsi"/>
          <w:b/>
          <w:sz w:val="24"/>
          <w:szCs w:val="24"/>
        </w:rPr>
        <w:t>Pohled do interiéru výtahu</w:t>
      </w:r>
    </w:p>
    <w:p w:rsidR="009A22DE" w:rsidRDefault="009A22DE" w:rsidP="002F754E">
      <w:pPr>
        <w:spacing w:after="0"/>
        <w:jc w:val="both"/>
        <w:rPr>
          <w:rFonts w:asciiTheme="majorHAnsi" w:hAnsiTheme="majorHAnsi" w:cstheme="majorHAnsi"/>
          <w:sz w:val="24"/>
          <w:szCs w:val="24"/>
        </w:rPr>
      </w:pPr>
      <w:r>
        <w:rPr>
          <w:noProof/>
          <w:lang w:eastAsia="cs-CZ"/>
        </w:rPr>
        <w:drawing>
          <wp:inline distT="0" distB="0" distL="0" distR="0">
            <wp:extent cx="2700000" cy="3600000"/>
            <wp:effectExtent l="0" t="0" r="5715"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9A22DE" w:rsidRDefault="009A22DE" w:rsidP="002F754E">
      <w:pPr>
        <w:spacing w:after="0"/>
        <w:jc w:val="both"/>
        <w:rPr>
          <w:rFonts w:asciiTheme="majorHAnsi" w:hAnsiTheme="majorHAnsi" w:cstheme="majorHAnsi"/>
          <w:sz w:val="24"/>
          <w:szCs w:val="24"/>
        </w:rPr>
      </w:pPr>
    </w:p>
    <w:p w:rsidR="009A22DE" w:rsidRDefault="009A22DE" w:rsidP="002F754E">
      <w:pPr>
        <w:spacing w:after="0"/>
        <w:jc w:val="both"/>
        <w:rPr>
          <w:rFonts w:asciiTheme="majorHAnsi" w:hAnsiTheme="majorHAnsi" w:cstheme="majorHAnsi"/>
          <w:sz w:val="24"/>
          <w:szCs w:val="24"/>
        </w:rPr>
      </w:pPr>
    </w:p>
    <w:p w:rsidR="009A22DE" w:rsidRDefault="009A22DE" w:rsidP="002F754E">
      <w:pPr>
        <w:spacing w:after="0"/>
        <w:jc w:val="both"/>
        <w:rPr>
          <w:rFonts w:asciiTheme="majorHAnsi" w:hAnsiTheme="majorHAnsi" w:cstheme="majorHAnsi"/>
          <w:sz w:val="24"/>
          <w:szCs w:val="24"/>
        </w:rPr>
      </w:pPr>
      <w:r>
        <w:rPr>
          <w:rFonts w:asciiTheme="majorHAnsi" w:hAnsiTheme="majorHAnsi" w:cstheme="majorHAnsi"/>
          <w:sz w:val="24"/>
          <w:szCs w:val="24"/>
        </w:rPr>
        <w:lastRenderedPageBreak/>
        <w:t xml:space="preserve">Obrázek 16. </w:t>
      </w:r>
      <w:r>
        <w:rPr>
          <w:rFonts w:asciiTheme="majorHAnsi" w:hAnsiTheme="majorHAnsi" w:cstheme="majorHAnsi"/>
          <w:sz w:val="24"/>
          <w:szCs w:val="24"/>
        </w:rPr>
        <w:tab/>
      </w:r>
      <w:r w:rsidR="003575EE" w:rsidRPr="00A15FE2">
        <w:rPr>
          <w:rFonts w:asciiTheme="majorHAnsi" w:hAnsiTheme="majorHAnsi" w:cstheme="majorHAnsi"/>
          <w:b/>
          <w:sz w:val="24"/>
          <w:szCs w:val="24"/>
        </w:rPr>
        <w:t>Schodiště v nové části budovy</w:t>
      </w:r>
    </w:p>
    <w:p w:rsidR="003575EE" w:rsidRDefault="003575EE" w:rsidP="002F754E">
      <w:pPr>
        <w:spacing w:after="0"/>
        <w:jc w:val="both"/>
        <w:rPr>
          <w:rFonts w:asciiTheme="majorHAnsi" w:hAnsiTheme="majorHAnsi" w:cstheme="majorHAnsi"/>
          <w:sz w:val="24"/>
          <w:szCs w:val="24"/>
        </w:rPr>
      </w:pPr>
      <w:r>
        <w:rPr>
          <w:rFonts w:asciiTheme="majorHAnsi" w:hAnsiTheme="majorHAnsi" w:cstheme="majorHAnsi"/>
          <w:noProof/>
          <w:sz w:val="24"/>
          <w:szCs w:val="24"/>
          <w:lang w:eastAsia="cs-CZ"/>
        </w:rPr>
        <w:drawing>
          <wp:inline distT="0" distB="0" distL="0" distR="0">
            <wp:extent cx="2366188" cy="3600000"/>
            <wp:effectExtent l="0" t="0" r="0" b="635"/>
            <wp:docPr id="33" name="Obrázek 33" descr="20150810_11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810_1121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6188" cy="3600000"/>
                    </a:xfrm>
                    <a:prstGeom prst="rect">
                      <a:avLst/>
                    </a:prstGeom>
                    <a:noFill/>
                    <a:ln>
                      <a:noFill/>
                    </a:ln>
                  </pic:spPr>
                </pic:pic>
              </a:graphicData>
            </a:graphic>
          </wp:inline>
        </w:drawing>
      </w:r>
    </w:p>
    <w:p w:rsidR="003575EE" w:rsidRDefault="003575EE" w:rsidP="002F754E">
      <w:pPr>
        <w:spacing w:after="0"/>
        <w:jc w:val="both"/>
        <w:rPr>
          <w:rFonts w:asciiTheme="majorHAnsi" w:hAnsiTheme="majorHAnsi" w:cstheme="majorHAnsi"/>
          <w:sz w:val="24"/>
          <w:szCs w:val="24"/>
        </w:rPr>
      </w:pPr>
    </w:p>
    <w:p w:rsidR="00F51B25" w:rsidRPr="00A61C6D" w:rsidRDefault="003575EE" w:rsidP="002F754E">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17. </w:t>
      </w:r>
      <w:r>
        <w:rPr>
          <w:rFonts w:asciiTheme="majorHAnsi" w:hAnsiTheme="majorHAnsi" w:cstheme="majorHAnsi"/>
          <w:sz w:val="24"/>
          <w:szCs w:val="24"/>
        </w:rPr>
        <w:tab/>
      </w:r>
      <w:r w:rsidR="00A61C6D" w:rsidRPr="00A15FE2">
        <w:rPr>
          <w:rFonts w:asciiTheme="majorHAnsi" w:hAnsiTheme="majorHAnsi" w:cstheme="majorHAnsi"/>
          <w:b/>
          <w:sz w:val="24"/>
          <w:szCs w:val="24"/>
        </w:rPr>
        <w:t>Upravená toaleta v nové části budovy</w:t>
      </w:r>
    </w:p>
    <w:p w:rsidR="0089491D" w:rsidRDefault="00A61C6D" w:rsidP="0089491D">
      <w:pPr>
        <w:rPr>
          <w:rFonts w:asciiTheme="majorHAnsi" w:hAnsiTheme="majorHAnsi"/>
          <w:sz w:val="24"/>
        </w:rPr>
      </w:pPr>
      <w:r>
        <w:rPr>
          <w:rFonts w:asciiTheme="majorHAnsi" w:hAnsiTheme="majorHAnsi" w:cstheme="majorHAnsi"/>
          <w:noProof/>
          <w:sz w:val="24"/>
          <w:szCs w:val="24"/>
          <w:lang w:eastAsia="cs-CZ"/>
        </w:rPr>
        <w:drawing>
          <wp:inline distT="0" distB="0" distL="0" distR="0" wp14:anchorId="78093CFC" wp14:editId="157584AA">
            <wp:extent cx="2430016" cy="3600000"/>
            <wp:effectExtent l="0" t="0" r="8890" b="635"/>
            <wp:docPr id="27" name="Obrázek 27" descr="20150810_13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810_1326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0016" cy="3600000"/>
                    </a:xfrm>
                    <a:prstGeom prst="rect">
                      <a:avLst/>
                    </a:prstGeom>
                    <a:noFill/>
                    <a:ln>
                      <a:noFill/>
                    </a:ln>
                  </pic:spPr>
                </pic:pic>
              </a:graphicData>
            </a:graphic>
          </wp:inline>
        </w:drawing>
      </w:r>
    </w:p>
    <w:p w:rsidR="003575EE" w:rsidRDefault="003575EE" w:rsidP="0089491D">
      <w:pPr>
        <w:rPr>
          <w:rFonts w:asciiTheme="majorHAnsi" w:hAnsiTheme="majorHAnsi"/>
          <w:sz w:val="24"/>
        </w:rPr>
      </w:pPr>
    </w:p>
    <w:p w:rsidR="003575EE" w:rsidRDefault="003575EE" w:rsidP="0089491D">
      <w:pPr>
        <w:rPr>
          <w:rFonts w:asciiTheme="majorHAnsi" w:hAnsiTheme="majorHAnsi"/>
          <w:sz w:val="24"/>
        </w:rPr>
      </w:pPr>
      <w:r>
        <w:rPr>
          <w:rFonts w:asciiTheme="majorHAnsi" w:hAnsiTheme="majorHAnsi"/>
          <w:sz w:val="24"/>
        </w:rPr>
        <w:lastRenderedPageBreak/>
        <w:t xml:space="preserve">Obrázek 18. </w:t>
      </w:r>
      <w:r>
        <w:rPr>
          <w:rFonts w:asciiTheme="majorHAnsi" w:hAnsiTheme="majorHAnsi"/>
          <w:sz w:val="24"/>
        </w:rPr>
        <w:tab/>
      </w:r>
      <w:r w:rsidRPr="00A15FE2">
        <w:rPr>
          <w:rFonts w:asciiTheme="majorHAnsi" w:hAnsiTheme="majorHAnsi"/>
          <w:b/>
          <w:sz w:val="24"/>
        </w:rPr>
        <w:t>Upravená toaleta – pohled na umyvadlo</w:t>
      </w:r>
    </w:p>
    <w:p w:rsidR="003575EE" w:rsidRDefault="003575EE" w:rsidP="0089491D">
      <w:pPr>
        <w:rPr>
          <w:rFonts w:asciiTheme="majorHAnsi" w:hAnsiTheme="majorHAnsi"/>
          <w:sz w:val="24"/>
        </w:rPr>
      </w:pPr>
      <w:r>
        <w:rPr>
          <w:noProof/>
          <w:lang w:eastAsia="cs-CZ"/>
        </w:rPr>
        <w:drawing>
          <wp:inline distT="0" distB="0" distL="0" distR="0">
            <wp:extent cx="3600000" cy="2715197"/>
            <wp:effectExtent l="0" t="0" r="635"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000" cy="2715197"/>
                    </a:xfrm>
                    <a:prstGeom prst="rect">
                      <a:avLst/>
                    </a:prstGeom>
                    <a:noFill/>
                    <a:ln>
                      <a:noFill/>
                    </a:ln>
                  </pic:spPr>
                </pic:pic>
              </a:graphicData>
            </a:graphic>
          </wp:inline>
        </w:drawing>
      </w:r>
    </w:p>
    <w:p w:rsidR="003575EE" w:rsidRDefault="003575EE" w:rsidP="0089491D">
      <w:pPr>
        <w:rPr>
          <w:rFonts w:asciiTheme="majorHAnsi" w:hAnsiTheme="majorHAnsi"/>
          <w:sz w:val="24"/>
        </w:rPr>
      </w:pPr>
    </w:p>
    <w:p w:rsidR="003575EE" w:rsidRDefault="003575EE" w:rsidP="0089491D">
      <w:pPr>
        <w:rPr>
          <w:rFonts w:asciiTheme="majorHAnsi" w:hAnsiTheme="majorHAnsi"/>
          <w:sz w:val="24"/>
        </w:rPr>
      </w:pPr>
      <w:r>
        <w:rPr>
          <w:rFonts w:asciiTheme="majorHAnsi" w:hAnsiTheme="majorHAnsi"/>
          <w:sz w:val="24"/>
        </w:rPr>
        <w:t xml:space="preserve">Obrázek 19. </w:t>
      </w:r>
      <w:r>
        <w:rPr>
          <w:rFonts w:asciiTheme="majorHAnsi" w:hAnsiTheme="majorHAnsi"/>
          <w:sz w:val="24"/>
        </w:rPr>
        <w:tab/>
      </w:r>
      <w:r w:rsidRPr="00A15FE2">
        <w:rPr>
          <w:rFonts w:asciiTheme="majorHAnsi" w:hAnsiTheme="majorHAnsi"/>
          <w:b/>
          <w:sz w:val="24"/>
        </w:rPr>
        <w:t>Vedlejší vstup z ulice Jiřího z Poděbrad – pohled na bránu ze dvora</w:t>
      </w:r>
    </w:p>
    <w:p w:rsidR="003575EE" w:rsidRDefault="003575EE" w:rsidP="0089491D">
      <w:pPr>
        <w:rPr>
          <w:rFonts w:asciiTheme="majorHAnsi" w:hAnsiTheme="majorHAnsi"/>
          <w:sz w:val="24"/>
        </w:rPr>
      </w:pPr>
      <w:r>
        <w:rPr>
          <w:rFonts w:asciiTheme="majorHAnsi" w:hAnsiTheme="majorHAnsi"/>
          <w:noProof/>
          <w:sz w:val="24"/>
          <w:lang w:eastAsia="cs-CZ"/>
        </w:rPr>
        <w:drawing>
          <wp:inline distT="0" distB="0" distL="0" distR="0">
            <wp:extent cx="2026697" cy="3600000"/>
            <wp:effectExtent l="0" t="0" r="0" b="635"/>
            <wp:docPr id="35" name="Obrázek 35" descr="20150810_1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810_1129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6697" cy="3600000"/>
                    </a:xfrm>
                    <a:prstGeom prst="rect">
                      <a:avLst/>
                    </a:prstGeom>
                    <a:noFill/>
                    <a:ln>
                      <a:noFill/>
                    </a:ln>
                  </pic:spPr>
                </pic:pic>
              </a:graphicData>
            </a:graphic>
          </wp:inline>
        </w:drawing>
      </w:r>
    </w:p>
    <w:p w:rsidR="003575EE" w:rsidRDefault="003575EE" w:rsidP="0089491D">
      <w:pPr>
        <w:rPr>
          <w:rFonts w:asciiTheme="majorHAnsi" w:hAnsiTheme="majorHAnsi"/>
          <w:sz w:val="24"/>
        </w:rPr>
      </w:pPr>
    </w:p>
    <w:p w:rsidR="003575EE" w:rsidRDefault="003575EE" w:rsidP="0089491D">
      <w:pPr>
        <w:rPr>
          <w:rFonts w:asciiTheme="majorHAnsi" w:hAnsiTheme="majorHAnsi"/>
          <w:sz w:val="24"/>
        </w:rPr>
      </w:pPr>
    </w:p>
    <w:p w:rsidR="003575EE" w:rsidRDefault="003575EE" w:rsidP="0089491D">
      <w:pPr>
        <w:rPr>
          <w:rFonts w:asciiTheme="majorHAnsi" w:hAnsiTheme="majorHAnsi"/>
          <w:sz w:val="24"/>
        </w:rPr>
      </w:pPr>
    </w:p>
    <w:p w:rsidR="003575EE" w:rsidRDefault="003575EE" w:rsidP="0089491D">
      <w:pPr>
        <w:rPr>
          <w:rFonts w:asciiTheme="majorHAnsi" w:hAnsiTheme="majorHAnsi"/>
          <w:sz w:val="24"/>
        </w:rPr>
      </w:pPr>
      <w:r>
        <w:rPr>
          <w:rFonts w:asciiTheme="majorHAnsi" w:hAnsiTheme="majorHAnsi"/>
          <w:sz w:val="24"/>
        </w:rPr>
        <w:lastRenderedPageBreak/>
        <w:t xml:space="preserve">Obrázek 20. </w:t>
      </w:r>
      <w:r w:rsidR="00076618">
        <w:rPr>
          <w:rFonts w:asciiTheme="majorHAnsi" w:hAnsiTheme="majorHAnsi"/>
          <w:sz w:val="24"/>
        </w:rPr>
        <w:tab/>
      </w:r>
      <w:r w:rsidR="00076618" w:rsidRPr="00A15FE2">
        <w:rPr>
          <w:rFonts w:asciiTheme="majorHAnsi" w:hAnsiTheme="majorHAnsi"/>
          <w:b/>
          <w:sz w:val="24"/>
        </w:rPr>
        <w:t>Zvonek u brány z ulice Jiřího z Poděbrad</w:t>
      </w:r>
    </w:p>
    <w:p w:rsidR="00076618" w:rsidRDefault="00076618" w:rsidP="0089491D">
      <w:pPr>
        <w:rPr>
          <w:rFonts w:asciiTheme="majorHAnsi" w:hAnsiTheme="majorHAnsi"/>
          <w:sz w:val="24"/>
        </w:rPr>
      </w:pPr>
      <w:r>
        <w:rPr>
          <w:noProof/>
          <w:lang w:eastAsia="cs-CZ"/>
        </w:rPr>
        <w:drawing>
          <wp:inline distT="0" distB="0" distL="0" distR="0">
            <wp:extent cx="3389848" cy="3600000"/>
            <wp:effectExtent l="0" t="0" r="1270" b="63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89848" cy="3600000"/>
                    </a:xfrm>
                    <a:prstGeom prst="rect">
                      <a:avLst/>
                    </a:prstGeom>
                    <a:noFill/>
                    <a:ln>
                      <a:noFill/>
                    </a:ln>
                  </pic:spPr>
                </pic:pic>
              </a:graphicData>
            </a:graphic>
          </wp:inline>
        </w:drawing>
      </w:r>
    </w:p>
    <w:p w:rsidR="00076618" w:rsidRDefault="00076618" w:rsidP="0089491D">
      <w:pPr>
        <w:rPr>
          <w:rFonts w:asciiTheme="majorHAnsi" w:hAnsiTheme="majorHAnsi"/>
          <w:sz w:val="24"/>
        </w:rPr>
      </w:pPr>
    </w:p>
    <w:p w:rsidR="00076618" w:rsidRDefault="00076618" w:rsidP="0089491D">
      <w:pPr>
        <w:rPr>
          <w:rFonts w:asciiTheme="majorHAnsi" w:hAnsiTheme="majorHAnsi"/>
          <w:sz w:val="24"/>
        </w:rPr>
      </w:pPr>
      <w:r>
        <w:rPr>
          <w:rFonts w:asciiTheme="majorHAnsi" w:hAnsiTheme="majorHAnsi"/>
          <w:sz w:val="24"/>
        </w:rPr>
        <w:t xml:space="preserve">Obrázek 21. </w:t>
      </w:r>
      <w:r>
        <w:rPr>
          <w:rFonts w:asciiTheme="majorHAnsi" w:hAnsiTheme="majorHAnsi"/>
          <w:sz w:val="24"/>
        </w:rPr>
        <w:tab/>
      </w:r>
      <w:r w:rsidRPr="00A15FE2">
        <w:rPr>
          <w:rFonts w:asciiTheme="majorHAnsi" w:hAnsiTheme="majorHAnsi"/>
          <w:b/>
          <w:sz w:val="24"/>
        </w:rPr>
        <w:t>Vyhrazené parkovací stání ve dvoře</w:t>
      </w:r>
    </w:p>
    <w:p w:rsidR="00076618" w:rsidRDefault="00076618" w:rsidP="0089491D">
      <w:pPr>
        <w:rPr>
          <w:rFonts w:asciiTheme="majorHAnsi" w:hAnsiTheme="majorHAnsi"/>
          <w:sz w:val="24"/>
        </w:rPr>
      </w:pPr>
      <w:r>
        <w:rPr>
          <w:noProof/>
          <w:lang w:eastAsia="cs-CZ"/>
        </w:rPr>
        <w:drawing>
          <wp:inline distT="0" distB="0" distL="0" distR="0">
            <wp:extent cx="2700000" cy="3600000"/>
            <wp:effectExtent l="0" t="0" r="5715" b="63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076618" w:rsidRDefault="00076618" w:rsidP="0089491D">
      <w:pPr>
        <w:rPr>
          <w:rFonts w:asciiTheme="majorHAnsi" w:hAnsiTheme="majorHAnsi"/>
          <w:sz w:val="24"/>
        </w:rPr>
      </w:pPr>
      <w:r>
        <w:rPr>
          <w:rFonts w:asciiTheme="majorHAnsi" w:hAnsiTheme="majorHAnsi"/>
          <w:sz w:val="24"/>
        </w:rPr>
        <w:lastRenderedPageBreak/>
        <w:t xml:space="preserve">Obrázek 22. </w:t>
      </w:r>
      <w:r>
        <w:rPr>
          <w:rFonts w:asciiTheme="majorHAnsi" w:hAnsiTheme="majorHAnsi"/>
          <w:sz w:val="24"/>
        </w:rPr>
        <w:tab/>
      </w:r>
      <w:r w:rsidRPr="00A15FE2">
        <w:rPr>
          <w:rFonts w:asciiTheme="majorHAnsi" w:hAnsiTheme="majorHAnsi"/>
          <w:b/>
          <w:sz w:val="24"/>
        </w:rPr>
        <w:t>Upravená toaleta v přízemí staré budovy – pohled na dveře</w:t>
      </w:r>
    </w:p>
    <w:p w:rsidR="00076618" w:rsidRDefault="00076618" w:rsidP="0089491D">
      <w:pPr>
        <w:rPr>
          <w:rFonts w:asciiTheme="majorHAnsi" w:hAnsiTheme="majorHAnsi"/>
          <w:sz w:val="24"/>
        </w:rPr>
      </w:pPr>
      <w:r>
        <w:rPr>
          <w:noProof/>
          <w:lang w:eastAsia="cs-CZ"/>
        </w:rPr>
        <w:drawing>
          <wp:inline distT="0" distB="0" distL="0" distR="0">
            <wp:extent cx="2720000" cy="3600000"/>
            <wp:effectExtent l="0" t="0" r="4445" b="63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720000" cy="3600000"/>
                    </a:xfrm>
                    <a:prstGeom prst="rect">
                      <a:avLst/>
                    </a:prstGeom>
                    <a:noFill/>
                    <a:ln>
                      <a:noFill/>
                    </a:ln>
                  </pic:spPr>
                </pic:pic>
              </a:graphicData>
            </a:graphic>
          </wp:inline>
        </w:drawing>
      </w:r>
    </w:p>
    <w:p w:rsidR="00076618" w:rsidRDefault="00076618" w:rsidP="0089491D">
      <w:pPr>
        <w:rPr>
          <w:rFonts w:asciiTheme="majorHAnsi" w:hAnsiTheme="majorHAnsi"/>
          <w:sz w:val="24"/>
        </w:rPr>
      </w:pPr>
    </w:p>
    <w:p w:rsidR="00076618" w:rsidRDefault="00076618" w:rsidP="0089491D">
      <w:pPr>
        <w:rPr>
          <w:rFonts w:asciiTheme="majorHAnsi" w:hAnsiTheme="majorHAnsi"/>
          <w:sz w:val="24"/>
        </w:rPr>
      </w:pPr>
      <w:r>
        <w:rPr>
          <w:rFonts w:asciiTheme="majorHAnsi" w:hAnsiTheme="majorHAnsi"/>
          <w:sz w:val="24"/>
        </w:rPr>
        <w:t xml:space="preserve">Obrázek 23. </w:t>
      </w:r>
      <w:r>
        <w:rPr>
          <w:rFonts w:asciiTheme="majorHAnsi" w:hAnsiTheme="majorHAnsi"/>
          <w:sz w:val="24"/>
        </w:rPr>
        <w:tab/>
      </w:r>
      <w:r w:rsidRPr="00A15FE2">
        <w:rPr>
          <w:rFonts w:asciiTheme="majorHAnsi" w:hAnsiTheme="majorHAnsi"/>
          <w:b/>
          <w:sz w:val="24"/>
        </w:rPr>
        <w:t>Upravená toaleta v přízemí staré budovy</w:t>
      </w:r>
      <w:r>
        <w:rPr>
          <w:rFonts w:asciiTheme="majorHAnsi" w:hAnsiTheme="majorHAnsi"/>
          <w:sz w:val="24"/>
        </w:rPr>
        <w:t xml:space="preserve"> </w:t>
      </w:r>
    </w:p>
    <w:p w:rsidR="00076618" w:rsidRDefault="00076618" w:rsidP="0089491D">
      <w:pPr>
        <w:rPr>
          <w:rFonts w:asciiTheme="majorHAnsi" w:hAnsiTheme="majorHAnsi"/>
          <w:sz w:val="24"/>
        </w:rPr>
      </w:pPr>
      <w:r>
        <w:rPr>
          <w:noProof/>
          <w:lang w:eastAsia="cs-CZ"/>
        </w:rPr>
        <w:drawing>
          <wp:inline distT="0" distB="0" distL="0" distR="0">
            <wp:extent cx="3832860" cy="2872740"/>
            <wp:effectExtent l="0" t="0" r="0" b="381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32860" cy="2872740"/>
                    </a:xfrm>
                    <a:prstGeom prst="rect">
                      <a:avLst/>
                    </a:prstGeom>
                    <a:noFill/>
                    <a:ln>
                      <a:noFill/>
                    </a:ln>
                  </pic:spPr>
                </pic:pic>
              </a:graphicData>
            </a:graphic>
          </wp:inline>
        </w:drawing>
      </w:r>
    </w:p>
    <w:p w:rsidR="00076618" w:rsidRDefault="00076618" w:rsidP="0089491D">
      <w:pPr>
        <w:rPr>
          <w:rFonts w:asciiTheme="majorHAnsi" w:hAnsiTheme="majorHAnsi"/>
          <w:sz w:val="24"/>
        </w:rPr>
      </w:pPr>
    </w:p>
    <w:p w:rsidR="00076618" w:rsidRDefault="00076618" w:rsidP="0089491D">
      <w:pPr>
        <w:rPr>
          <w:rFonts w:asciiTheme="majorHAnsi" w:hAnsiTheme="majorHAnsi"/>
          <w:sz w:val="24"/>
        </w:rPr>
      </w:pPr>
    </w:p>
    <w:p w:rsidR="00076618" w:rsidRDefault="00076618" w:rsidP="0089491D">
      <w:pPr>
        <w:rPr>
          <w:rFonts w:asciiTheme="majorHAnsi" w:hAnsiTheme="majorHAnsi"/>
          <w:sz w:val="24"/>
        </w:rPr>
      </w:pPr>
      <w:r>
        <w:rPr>
          <w:rFonts w:asciiTheme="majorHAnsi" w:hAnsiTheme="majorHAnsi"/>
          <w:sz w:val="24"/>
        </w:rPr>
        <w:lastRenderedPageBreak/>
        <w:t xml:space="preserve">Obrázek 24. </w:t>
      </w:r>
      <w:r>
        <w:rPr>
          <w:rFonts w:asciiTheme="majorHAnsi" w:hAnsiTheme="majorHAnsi"/>
          <w:sz w:val="24"/>
        </w:rPr>
        <w:tab/>
      </w:r>
      <w:r w:rsidRPr="00A15FE2">
        <w:rPr>
          <w:rFonts w:asciiTheme="majorHAnsi" w:hAnsiTheme="majorHAnsi"/>
          <w:b/>
          <w:sz w:val="24"/>
        </w:rPr>
        <w:t>Plošina k bufetu ve staré části budovy</w:t>
      </w:r>
    </w:p>
    <w:p w:rsidR="00076618" w:rsidRDefault="00076618" w:rsidP="0089491D">
      <w:pPr>
        <w:rPr>
          <w:rFonts w:asciiTheme="majorHAnsi" w:hAnsiTheme="majorHAnsi"/>
          <w:sz w:val="24"/>
        </w:rPr>
      </w:pPr>
      <w:r>
        <w:rPr>
          <w:noProof/>
          <w:lang w:eastAsia="cs-CZ"/>
        </w:rPr>
        <w:drawing>
          <wp:inline distT="0" distB="0" distL="0" distR="0">
            <wp:extent cx="2700000" cy="3600000"/>
            <wp:effectExtent l="0" t="0" r="5715" b="63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076618" w:rsidRDefault="00076618" w:rsidP="0089491D">
      <w:pPr>
        <w:rPr>
          <w:rFonts w:asciiTheme="majorHAnsi" w:hAnsiTheme="majorHAnsi"/>
          <w:sz w:val="24"/>
        </w:rPr>
      </w:pPr>
    </w:p>
    <w:p w:rsidR="00076618" w:rsidRDefault="00076618" w:rsidP="0089491D">
      <w:pPr>
        <w:rPr>
          <w:rFonts w:asciiTheme="majorHAnsi" w:hAnsiTheme="majorHAnsi"/>
          <w:sz w:val="24"/>
        </w:rPr>
      </w:pPr>
      <w:r>
        <w:rPr>
          <w:rFonts w:asciiTheme="majorHAnsi" w:hAnsiTheme="majorHAnsi"/>
          <w:sz w:val="24"/>
        </w:rPr>
        <w:t xml:space="preserve">Obrázek 25. </w:t>
      </w:r>
      <w:r>
        <w:rPr>
          <w:rFonts w:asciiTheme="majorHAnsi" w:hAnsiTheme="majorHAnsi"/>
          <w:sz w:val="24"/>
        </w:rPr>
        <w:tab/>
      </w:r>
      <w:r w:rsidRPr="00A15FE2">
        <w:rPr>
          <w:rFonts w:asciiTheme="majorHAnsi" w:hAnsiTheme="majorHAnsi"/>
          <w:b/>
          <w:sz w:val="24"/>
        </w:rPr>
        <w:t>Plošina – nájezd od bufetu</w:t>
      </w:r>
    </w:p>
    <w:p w:rsidR="00076618" w:rsidRPr="002F754E" w:rsidRDefault="00076618" w:rsidP="0089491D">
      <w:pPr>
        <w:rPr>
          <w:rFonts w:asciiTheme="majorHAnsi" w:hAnsiTheme="majorHAnsi"/>
          <w:sz w:val="24"/>
        </w:rPr>
      </w:pPr>
      <w:r>
        <w:rPr>
          <w:noProof/>
          <w:lang w:eastAsia="cs-CZ"/>
        </w:rPr>
        <w:drawing>
          <wp:inline distT="0" distB="0" distL="0" distR="0">
            <wp:extent cx="2700000" cy="3600000"/>
            <wp:effectExtent l="0" t="0" r="5715" b="63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sectPr w:rsidR="00076618" w:rsidRPr="002F754E" w:rsidSect="0036399B">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A78" w:rsidRDefault="00046A78" w:rsidP="0036399B">
      <w:pPr>
        <w:spacing w:after="0" w:line="240" w:lineRule="auto"/>
      </w:pPr>
      <w:r>
        <w:separator/>
      </w:r>
    </w:p>
  </w:endnote>
  <w:endnote w:type="continuationSeparator" w:id="0">
    <w:p w:rsidR="00046A78" w:rsidRDefault="00046A78"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Footer"/>
    </w:pPr>
    <w:r w:rsidRPr="0036399B">
      <w:t xml:space="preserve">Univerzita Palackého v Olomouci | Křížkovského </w:t>
    </w:r>
    <w:r>
      <w:t xml:space="preserve">8 </w:t>
    </w:r>
    <w:r w:rsidRPr="0036399B">
      <w:t>|</w:t>
    </w:r>
    <w:r>
      <w:t>77147 Olomouc</w:t>
    </w:r>
  </w:p>
  <w:p w:rsidR="0036399B" w:rsidRPr="0036399B" w:rsidRDefault="0036399B">
    <w:pPr>
      <w:pStyle w:val="Footer"/>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A78" w:rsidRDefault="00046A78" w:rsidP="0036399B">
      <w:pPr>
        <w:spacing w:after="0" w:line="240" w:lineRule="auto"/>
      </w:pPr>
      <w:r>
        <w:separator/>
      </w:r>
    </w:p>
  </w:footnote>
  <w:footnote w:type="continuationSeparator" w:id="0">
    <w:p w:rsidR="00046A78" w:rsidRDefault="00046A78"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Header"/>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97526"/>
    <w:multiLevelType w:val="hybridMultilevel"/>
    <w:tmpl w:val="0FD245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747F74BB"/>
    <w:multiLevelType w:val="hybridMultilevel"/>
    <w:tmpl w:val="8A5E9F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3429"/>
    <w:rsid w:val="00027CFF"/>
    <w:rsid w:val="00037EB3"/>
    <w:rsid w:val="00046A78"/>
    <w:rsid w:val="00076618"/>
    <w:rsid w:val="001C1CC8"/>
    <w:rsid w:val="001D4D65"/>
    <w:rsid w:val="002140C5"/>
    <w:rsid w:val="00240CA6"/>
    <w:rsid w:val="002C2314"/>
    <w:rsid w:val="002F754E"/>
    <w:rsid w:val="00300223"/>
    <w:rsid w:val="00315F86"/>
    <w:rsid w:val="00320B8B"/>
    <w:rsid w:val="003575EE"/>
    <w:rsid w:val="0036399B"/>
    <w:rsid w:val="00413695"/>
    <w:rsid w:val="004519CB"/>
    <w:rsid w:val="004D349D"/>
    <w:rsid w:val="00563EBF"/>
    <w:rsid w:val="005D1988"/>
    <w:rsid w:val="005E706C"/>
    <w:rsid w:val="0063021A"/>
    <w:rsid w:val="00637109"/>
    <w:rsid w:val="00660644"/>
    <w:rsid w:val="006C07D5"/>
    <w:rsid w:val="006D69DA"/>
    <w:rsid w:val="008553BC"/>
    <w:rsid w:val="008902A4"/>
    <w:rsid w:val="0089491D"/>
    <w:rsid w:val="008E5346"/>
    <w:rsid w:val="00914FF7"/>
    <w:rsid w:val="009A22DE"/>
    <w:rsid w:val="00A15FE2"/>
    <w:rsid w:val="00A363B3"/>
    <w:rsid w:val="00A61C6D"/>
    <w:rsid w:val="00B310E8"/>
    <w:rsid w:val="00BC6372"/>
    <w:rsid w:val="00CB52DD"/>
    <w:rsid w:val="00D07AD1"/>
    <w:rsid w:val="00DC11F9"/>
    <w:rsid w:val="00DC2CC4"/>
    <w:rsid w:val="00E750E4"/>
    <w:rsid w:val="00F12701"/>
    <w:rsid w:val="00F51B25"/>
    <w:rsid w:val="00FA5838"/>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77EB67-8175-4F58-BD5E-FF10ECC2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91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553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553B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553BC"/>
    <w:rPr>
      <w:rFonts w:asciiTheme="majorHAnsi" w:eastAsiaTheme="majorEastAsia" w:hAnsiTheme="majorHAnsi" w:cstheme="majorBidi"/>
      <w:color w:val="2E74B5" w:themeColor="accent1" w:themeShade="BF"/>
      <w:sz w:val="26"/>
      <w:szCs w:val="26"/>
    </w:rPr>
  </w:style>
  <w:style w:type="character" w:styleId="SubtleEmphasis">
    <w:name w:val="Subtle Emphasis"/>
    <w:basedOn w:val="DefaultParagraphFont"/>
    <w:uiPriority w:val="19"/>
    <w:qFormat/>
    <w:rsid w:val="008553BC"/>
    <w:rPr>
      <w:i/>
      <w:iCs/>
      <w:color w:val="404040" w:themeColor="text1" w:themeTint="BF"/>
    </w:rPr>
  </w:style>
  <w:style w:type="paragraph" w:styleId="Header">
    <w:name w:val="header"/>
    <w:basedOn w:val="Normal"/>
    <w:link w:val="HeaderChar"/>
    <w:uiPriority w:val="99"/>
    <w:unhideWhenUsed/>
    <w:rsid w:val="003639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399B"/>
  </w:style>
  <w:style w:type="paragraph" w:styleId="Footer">
    <w:name w:val="footer"/>
    <w:basedOn w:val="Normal"/>
    <w:link w:val="FooterChar"/>
    <w:uiPriority w:val="99"/>
    <w:unhideWhenUsed/>
    <w:rsid w:val="003639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399B"/>
  </w:style>
  <w:style w:type="paragraph" w:styleId="NoSpacing">
    <w:name w:val="No Spacing"/>
    <w:uiPriority w:val="1"/>
    <w:qFormat/>
    <w:rsid w:val="004519CB"/>
    <w:pPr>
      <w:spacing w:after="0" w:line="240" w:lineRule="auto"/>
    </w:pPr>
  </w:style>
  <w:style w:type="paragraph" w:styleId="ListParagraph">
    <w:name w:val="List Paragraph"/>
    <w:basedOn w:val="Normal"/>
    <w:uiPriority w:val="34"/>
    <w:qFormat/>
    <w:rsid w:val="004D349D"/>
    <w:pPr>
      <w:spacing w:after="200" w:line="276" w:lineRule="auto"/>
      <w:ind w:left="720"/>
      <w:contextualSpacing/>
    </w:pPr>
  </w:style>
  <w:style w:type="character" w:styleId="Hyperlink">
    <w:name w:val="Hyperlink"/>
    <w:basedOn w:val="DefaultParagraphFont"/>
    <w:uiPriority w:val="99"/>
    <w:unhideWhenUsed/>
    <w:rsid w:val="00F51B25"/>
    <w:rPr>
      <w:color w:val="0563C1" w:themeColor="hyperlink"/>
      <w:u w:val="single"/>
    </w:rPr>
  </w:style>
  <w:style w:type="character" w:customStyle="1" w:styleId="Zkladntext2">
    <w:name w:val="Základní text (2)"/>
    <w:rsid w:val="00563EBF"/>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0FC25-79C3-44DC-8CC5-DD6CE554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1902</Words>
  <Characters>11228</Characters>
  <Application>Microsoft Office Word</Application>
  <DocSecurity>0</DocSecurity>
  <Lines>93</Lines>
  <Paragraphs>26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PdF UP Olomouc</Company>
  <LinksUpToDate>false</LinksUpToDate>
  <CharactersWithSpaces>13104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LenkaH</cp:lastModifiedBy>
  <cp:revision>10</cp:revision>
  <dcterms:created xsi:type="dcterms:W3CDTF">2019-03-08T12:34:00Z</dcterms:created>
  <dcterms:modified xsi:type="dcterms:W3CDTF">2019-03-12T20:33:00Z</dcterms:modified>
</cp:coreProperties>
</file>