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D27F4D" w:rsidRDefault="006E11B6" w:rsidP="00F51B25">
                            <w:pPr>
                              <w:spacing w:after="0"/>
                              <w:rPr>
                                <w:rFonts w:asciiTheme="majorHAnsi" w:hAnsiTheme="majorHAnsi" w:cstheme="majorHAnsi"/>
                                <w:sz w:val="24"/>
                                <w:szCs w:val="24"/>
                              </w:rPr>
                            </w:pPr>
                            <w:r w:rsidRPr="00D27F4D">
                              <w:rPr>
                                <w:rFonts w:asciiTheme="majorHAnsi" w:hAnsiTheme="majorHAnsi" w:cstheme="majorHAnsi"/>
                                <w:sz w:val="24"/>
                                <w:szCs w:val="24"/>
                              </w:rPr>
                              <w:t xml:space="preserve">Šmeralova 1116/10, 771 11 </w:t>
                            </w:r>
                            <w:r w:rsidR="00F51B25" w:rsidRPr="00D27F4D">
                              <w:rPr>
                                <w:rFonts w:asciiTheme="majorHAnsi" w:hAnsiTheme="majorHAnsi" w:cstheme="majorHAnsi"/>
                                <w:sz w:val="24"/>
                                <w:szCs w:val="24"/>
                              </w:rPr>
                              <w:t>Olomouc</w:t>
                            </w:r>
                            <w:r w:rsidR="00413695" w:rsidRPr="00D27F4D">
                              <w:rPr>
                                <w:rFonts w:asciiTheme="majorHAnsi" w:hAnsiTheme="majorHAnsi" w:cstheme="majorHAnsi"/>
                                <w:sz w:val="24"/>
                                <w:szCs w:val="24"/>
                              </w:rPr>
                              <w:t xml:space="preserve"> | </w:t>
                            </w:r>
                            <w:r w:rsidR="00F51B25" w:rsidRPr="00D27F4D">
                              <w:rPr>
                                <w:rFonts w:asciiTheme="majorHAnsi" w:hAnsiTheme="majorHAnsi" w:cstheme="majorHAnsi"/>
                                <w:sz w:val="24"/>
                                <w:szCs w:val="24"/>
                              </w:rPr>
                              <w:t>GPS</w:t>
                            </w:r>
                            <w:r w:rsidR="00413695" w:rsidRPr="00D27F4D">
                              <w:rPr>
                                <w:rFonts w:asciiTheme="majorHAnsi" w:hAnsiTheme="majorHAnsi" w:cstheme="majorHAnsi"/>
                                <w:sz w:val="24"/>
                                <w:szCs w:val="24"/>
                              </w:rPr>
                              <w:t xml:space="preserve"> </w:t>
                            </w:r>
                            <w:r w:rsidR="000B5DD8">
                              <w:rPr>
                                <w:rFonts w:asciiTheme="majorHAnsi" w:hAnsiTheme="majorHAnsi" w:cstheme="majorHAnsi"/>
                                <w:sz w:val="24"/>
                                <w:szCs w:val="24"/>
                              </w:rPr>
                              <w:t>N 49°35.55412</w:t>
                            </w:r>
                            <w:r w:rsidR="000B5DD8">
                              <w:t>′</w:t>
                            </w:r>
                            <w:bookmarkStart w:id="0" w:name="_GoBack"/>
                            <w:bookmarkEnd w:id="0"/>
                            <w:r w:rsidR="000B5DD8">
                              <w:rPr>
                                <w:rFonts w:asciiTheme="majorHAnsi" w:hAnsiTheme="majorHAnsi" w:cstheme="majorHAnsi"/>
                                <w:sz w:val="24"/>
                                <w:szCs w:val="24"/>
                              </w:rPr>
                              <w:t>, E 17°15.97142</w:t>
                            </w:r>
                            <w:r w:rsidR="000B5DD8">
                              <w:t>′</w:t>
                            </w:r>
                          </w:p>
                          <w:p w:rsidR="00413695" w:rsidRPr="00D27F4D" w:rsidRDefault="00F51B25" w:rsidP="00413695">
                            <w:pPr>
                              <w:pStyle w:val="Bezmezer"/>
                              <w:rPr>
                                <w:rFonts w:asciiTheme="majorHAnsi" w:hAnsiTheme="majorHAnsi" w:cstheme="majorHAnsi"/>
                                <w:sz w:val="24"/>
                                <w:szCs w:val="24"/>
                              </w:rPr>
                            </w:pPr>
                            <w:r w:rsidRPr="00D27F4D">
                              <w:rPr>
                                <w:rFonts w:asciiTheme="majorHAnsi" w:hAnsiTheme="majorHAnsi" w:cstheme="majorHAnsi"/>
                                <w:sz w:val="24"/>
                                <w:szCs w:val="24"/>
                              </w:rPr>
                              <w:t xml:space="preserve">tel: +420 </w:t>
                            </w:r>
                            <w:r w:rsidR="006E11B6" w:rsidRPr="00D27F4D">
                              <w:rPr>
                                <w:rFonts w:asciiTheme="majorHAnsi" w:hAnsiTheme="majorHAnsi" w:cstheme="majorHAnsi"/>
                                <w:sz w:val="24"/>
                                <w:szCs w:val="24"/>
                              </w:rPr>
                              <w:t>585 638</w:t>
                            </w:r>
                            <w:r w:rsidR="00D525C3">
                              <w:rPr>
                                <w:rFonts w:asciiTheme="majorHAnsi" w:hAnsiTheme="majorHAnsi" w:cstheme="majorHAnsi"/>
                                <w:sz w:val="24"/>
                                <w:szCs w:val="24"/>
                              </w:rPr>
                              <w:t xml:space="preserve"> </w:t>
                            </w:r>
                            <w:r w:rsidR="006E11B6" w:rsidRPr="00D27F4D">
                              <w:rPr>
                                <w:rFonts w:asciiTheme="majorHAnsi" w:hAnsiTheme="majorHAnsi" w:cstheme="majorHAnsi"/>
                                <w:sz w:val="24"/>
                                <w:szCs w:val="24"/>
                              </w:rPr>
                              <w:t xml:space="preserve">008 </w:t>
                            </w:r>
                            <w:r w:rsidRPr="00D27F4D">
                              <w:rPr>
                                <w:rFonts w:asciiTheme="majorHAnsi" w:hAnsiTheme="majorHAnsi" w:cstheme="majorHAnsi"/>
                                <w:sz w:val="24"/>
                                <w:szCs w:val="24"/>
                              </w:rPr>
                              <w:t>|</w:t>
                            </w:r>
                            <w:r w:rsidR="002F754E" w:rsidRPr="00D27F4D">
                              <w:rPr>
                                <w:rFonts w:asciiTheme="majorHAnsi" w:hAnsiTheme="majorHAnsi" w:cstheme="majorHAnsi"/>
                                <w:sz w:val="24"/>
                                <w:szCs w:val="24"/>
                              </w:rPr>
                              <w:t xml:space="preserve"> </w:t>
                            </w:r>
                            <w:r w:rsidR="006E11B6" w:rsidRPr="00D27F4D">
                              <w:rPr>
                                <w:rFonts w:asciiTheme="majorHAnsi" w:hAnsiTheme="majorHAnsi" w:cstheme="majorHAnsi"/>
                                <w:sz w:val="24"/>
                                <w:szCs w:val="24"/>
                              </w:rPr>
                              <w:t>https://skm.upol.cz/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D27F4D" w:rsidRDefault="006E11B6" w:rsidP="00F51B25">
                      <w:pPr>
                        <w:spacing w:after="0"/>
                        <w:rPr>
                          <w:rFonts w:asciiTheme="majorHAnsi" w:hAnsiTheme="majorHAnsi" w:cstheme="majorHAnsi"/>
                          <w:sz w:val="24"/>
                          <w:szCs w:val="24"/>
                        </w:rPr>
                      </w:pPr>
                      <w:r w:rsidRPr="00D27F4D">
                        <w:rPr>
                          <w:rFonts w:asciiTheme="majorHAnsi" w:hAnsiTheme="majorHAnsi" w:cstheme="majorHAnsi"/>
                          <w:sz w:val="24"/>
                          <w:szCs w:val="24"/>
                        </w:rPr>
                        <w:t xml:space="preserve">Šmeralova 1116/10, 771 11 </w:t>
                      </w:r>
                      <w:r w:rsidR="00F51B25" w:rsidRPr="00D27F4D">
                        <w:rPr>
                          <w:rFonts w:asciiTheme="majorHAnsi" w:hAnsiTheme="majorHAnsi" w:cstheme="majorHAnsi"/>
                          <w:sz w:val="24"/>
                          <w:szCs w:val="24"/>
                        </w:rPr>
                        <w:t>Olomouc</w:t>
                      </w:r>
                      <w:r w:rsidR="00413695" w:rsidRPr="00D27F4D">
                        <w:rPr>
                          <w:rFonts w:asciiTheme="majorHAnsi" w:hAnsiTheme="majorHAnsi" w:cstheme="majorHAnsi"/>
                          <w:sz w:val="24"/>
                          <w:szCs w:val="24"/>
                        </w:rPr>
                        <w:t xml:space="preserve"> | </w:t>
                      </w:r>
                      <w:r w:rsidR="00F51B25" w:rsidRPr="00D27F4D">
                        <w:rPr>
                          <w:rFonts w:asciiTheme="majorHAnsi" w:hAnsiTheme="majorHAnsi" w:cstheme="majorHAnsi"/>
                          <w:sz w:val="24"/>
                          <w:szCs w:val="24"/>
                        </w:rPr>
                        <w:t>GPS</w:t>
                      </w:r>
                      <w:r w:rsidR="00413695" w:rsidRPr="00D27F4D">
                        <w:rPr>
                          <w:rFonts w:asciiTheme="majorHAnsi" w:hAnsiTheme="majorHAnsi" w:cstheme="majorHAnsi"/>
                          <w:sz w:val="24"/>
                          <w:szCs w:val="24"/>
                        </w:rPr>
                        <w:t xml:space="preserve"> </w:t>
                      </w:r>
                      <w:r w:rsidR="000B5DD8">
                        <w:rPr>
                          <w:rFonts w:asciiTheme="majorHAnsi" w:hAnsiTheme="majorHAnsi" w:cstheme="majorHAnsi"/>
                          <w:sz w:val="24"/>
                          <w:szCs w:val="24"/>
                        </w:rPr>
                        <w:t>N 49°35.55412</w:t>
                      </w:r>
                      <w:r w:rsidR="000B5DD8">
                        <w:t>′</w:t>
                      </w:r>
                      <w:bookmarkStart w:id="1" w:name="_GoBack"/>
                      <w:bookmarkEnd w:id="1"/>
                      <w:r w:rsidR="000B5DD8">
                        <w:rPr>
                          <w:rFonts w:asciiTheme="majorHAnsi" w:hAnsiTheme="majorHAnsi" w:cstheme="majorHAnsi"/>
                          <w:sz w:val="24"/>
                          <w:szCs w:val="24"/>
                        </w:rPr>
                        <w:t>, E 17°15.97142</w:t>
                      </w:r>
                      <w:r w:rsidR="000B5DD8">
                        <w:t>′</w:t>
                      </w:r>
                    </w:p>
                    <w:p w:rsidR="00413695" w:rsidRPr="00D27F4D" w:rsidRDefault="00F51B25" w:rsidP="00413695">
                      <w:pPr>
                        <w:pStyle w:val="Bezmezer"/>
                        <w:rPr>
                          <w:rFonts w:asciiTheme="majorHAnsi" w:hAnsiTheme="majorHAnsi" w:cstheme="majorHAnsi"/>
                          <w:sz w:val="24"/>
                          <w:szCs w:val="24"/>
                        </w:rPr>
                      </w:pPr>
                      <w:r w:rsidRPr="00D27F4D">
                        <w:rPr>
                          <w:rFonts w:asciiTheme="majorHAnsi" w:hAnsiTheme="majorHAnsi" w:cstheme="majorHAnsi"/>
                          <w:sz w:val="24"/>
                          <w:szCs w:val="24"/>
                        </w:rPr>
                        <w:t xml:space="preserve">tel: +420 </w:t>
                      </w:r>
                      <w:r w:rsidR="006E11B6" w:rsidRPr="00D27F4D">
                        <w:rPr>
                          <w:rFonts w:asciiTheme="majorHAnsi" w:hAnsiTheme="majorHAnsi" w:cstheme="majorHAnsi"/>
                          <w:sz w:val="24"/>
                          <w:szCs w:val="24"/>
                        </w:rPr>
                        <w:t>585 638</w:t>
                      </w:r>
                      <w:r w:rsidR="00D525C3">
                        <w:rPr>
                          <w:rFonts w:asciiTheme="majorHAnsi" w:hAnsiTheme="majorHAnsi" w:cstheme="majorHAnsi"/>
                          <w:sz w:val="24"/>
                          <w:szCs w:val="24"/>
                        </w:rPr>
                        <w:t xml:space="preserve"> </w:t>
                      </w:r>
                      <w:r w:rsidR="006E11B6" w:rsidRPr="00D27F4D">
                        <w:rPr>
                          <w:rFonts w:asciiTheme="majorHAnsi" w:hAnsiTheme="majorHAnsi" w:cstheme="majorHAnsi"/>
                          <w:sz w:val="24"/>
                          <w:szCs w:val="24"/>
                        </w:rPr>
                        <w:t xml:space="preserve">008 </w:t>
                      </w:r>
                      <w:r w:rsidRPr="00D27F4D">
                        <w:rPr>
                          <w:rFonts w:asciiTheme="majorHAnsi" w:hAnsiTheme="majorHAnsi" w:cstheme="majorHAnsi"/>
                          <w:sz w:val="24"/>
                          <w:szCs w:val="24"/>
                        </w:rPr>
                        <w:t>|</w:t>
                      </w:r>
                      <w:r w:rsidR="002F754E" w:rsidRPr="00D27F4D">
                        <w:rPr>
                          <w:rFonts w:asciiTheme="majorHAnsi" w:hAnsiTheme="majorHAnsi" w:cstheme="majorHAnsi"/>
                          <w:sz w:val="24"/>
                          <w:szCs w:val="24"/>
                        </w:rPr>
                        <w:t xml:space="preserve"> </w:t>
                      </w:r>
                      <w:r w:rsidR="006E11B6" w:rsidRPr="00D27F4D">
                        <w:rPr>
                          <w:rFonts w:asciiTheme="majorHAnsi" w:hAnsiTheme="majorHAnsi" w:cstheme="majorHAnsi"/>
                          <w:sz w:val="24"/>
                          <w:szCs w:val="24"/>
                        </w:rPr>
                        <w:t>https://skm.upol.cz/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7E6431">
                              <w:rPr>
                                <w:rFonts w:asciiTheme="majorHAnsi" w:hAnsiTheme="majorHAnsi" w:cstheme="majorHAnsi"/>
                                <w:b/>
                                <w:sz w:val="60"/>
                                <w:szCs w:val="60"/>
                              </w:rPr>
                              <w:t>Kolej J. L. Fischera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7E6431">
                        <w:rPr>
                          <w:rFonts w:asciiTheme="majorHAnsi" w:hAnsiTheme="majorHAnsi" w:cstheme="majorHAnsi"/>
                          <w:b/>
                          <w:sz w:val="60"/>
                          <w:szCs w:val="60"/>
                        </w:rPr>
                        <w:t>Kolej J. L. Fischera</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4D349D">
      <w:pPr>
        <w:spacing w:after="0"/>
        <w:jc w:val="both"/>
        <w:rPr>
          <w:rFonts w:asciiTheme="majorHAnsi" w:hAnsiTheme="majorHAnsi"/>
        </w:rPr>
      </w:pPr>
    </w:p>
    <w:p w:rsidR="006E11B6" w:rsidRPr="007C43D3" w:rsidRDefault="006E11B6" w:rsidP="007C43D3">
      <w:pPr>
        <w:pStyle w:val="Nadpis1"/>
        <w:rPr>
          <w:rFonts w:cstheme="majorHAnsi"/>
          <w:b/>
        </w:rPr>
      </w:pPr>
      <w:r w:rsidRPr="007C43D3">
        <w:rPr>
          <w:rFonts w:cstheme="majorHAnsi"/>
          <w:b/>
        </w:rPr>
        <w:t>VSTUP A INTERIÉR</w:t>
      </w:r>
    </w:p>
    <w:p w:rsidR="006E11B6" w:rsidRPr="007C43D3" w:rsidRDefault="006E11B6" w:rsidP="006E11B6">
      <w:pPr>
        <w:spacing w:before="120" w:after="0" w:line="276" w:lineRule="auto"/>
        <w:ind w:firstLine="708"/>
        <w:jc w:val="both"/>
        <w:rPr>
          <w:rFonts w:asciiTheme="majorHAnsi" w:hAnsiTheme="majorHAnsi" w:cstheme="majorHAnsi"/>
          <w:sz w:val="24"/>
          <w:szCs w:val="24"/>
        </w:rPr>
      </w:pPr>
      <w:r w:rsidRPr="007C43D3">
        <w:rPr>
          <w:rFonts w:asciiTheme="majorHAnsi" w:hAnsiTheme="majorHAnsi" w:cstheme="majorHAnsi"/>
          <w:sz w:val="24"/>
          <w:szCs w:val="24"/>
        </w:rPr>
        <w:t>U objektu není vyhrazeno parkovací stání, ale nachází se zde běžná parkovací místa. Přístup ke vstupu je bez obtíží (nový asfalt). Bezbariérový přístup do budovy kolejí je možný hlavním vchodem (sklon podélný 6,99</w:t>
      </w:r>
      <w:r w:rsidR="00590F2B">
        <w:rPr>
          <w:rFonts w:asciiTheme="majorHAnsi" w:hAnsiTheme="majorHAnsi" w:cstheme="majorHAnsi"/>
          <w:sz w:val="24"/>
          <w:szCs w:val="24"/>
        </w:rPr>
        <w:t xml:space="preserve"> </w:t>
      </w:r>
      <w:r w:rsidRPr="007C43D3">
        <w:rPr>
          <w:rFonts w:asciiTheme="majorHAnsi" w:hAnsiTheme="majorHAnsi" w:cstheme="majorHAnsi"/>
          <w:sz w:val="24"/>
          <w:szCs w:val="24"/>
        </w:rPr>
        <w:t>%).  Přístupnost je bez jakéhokoli převýšení. Plocha před dveřmi je dostatečná (š. 312 cm, hloubka 133 cm), zvonek, AOM chybí. Hlavní vstup je tvořen dvoukřídlými, mechanickými dveřmi (průjezdová šířka 92 cm, šířka vedlejšího křídla 87 cm) otevíratelnými ven, výška prahu 1 cm. Zádveří (šířka 320 cm, hloubka 149 cm) je dostatečné. Dveře ze zádveří jsou tvořeny dvoukřídlými, mechanickými dveřmi (průjezdová šířka 88 cm, šířka vedlejšího křídla 92 cm), výška prahu 1 cm. Prosklené plochy jsou značeny, ale značení schodů chybí. Ze zádveří vede dlouhá chodba, kterou se dostanet</w:t>
      </w:r>
      <w:r w:rsidR="007C43D3">
        <w:rPr>
          <w:rFonts w:asciiTheme="majorHAnsi" w:hAnsiTheme="majorHAnsi" w:cstheme="majorHAnsi"/>
          <w:sz w:val="24"/>
          <w:szCs w:val="24"/>
        </w:rPr>
        <w:t>e do jednotlivých pokojů. Než</w:t>
      </w:r>
      <w:r w:rsidRPr="007C43D3">
        <w:rPr>
          <w:rFonts w:asciiTheme="majorHAnsi" w:hAnsiTheme="majorHAnsi" w:cstheme="majorHAnsi"/>
          <w:sz w:val="24"/>
          <w:szCs w:val="24"/>
        </w:rPr>
        <w:t xml:space="preserve"> k nim dojdete, musíte projít ještě dveřmi</w:t>
      </w:r>
      <w:r w:rsidR="007C43D3">
        <w:rPr>
          <w:rFonts w:asciiTheme="majorHAnsi" w:hAnsiTheme="majorHAnsi" w:cstheme="majorHAnsi"/>
          <w:sz w:val="24"/>
          <w:szCs w:val="24"/>
        </w:rPr>
        <w:t xml:space="preserve"> </w:t>
      </w:r>
      <w:r w:rsidR="00590F2B">
        <w:rPr>
          <w:rFonts w:asciiTheme="majorHAnsi" w:hAnsiTheme="majorHAnsi" w:cstheme="majorHAnsi"/>
          <w:sz w:val="24"/>
          <w:szCs w:val="24"/>
        </w:rPr>
        <w:t>–</w:t>
      </w:r>
      <w:r w:rsidRPr="007C43D3">
        <w:rPr>
          <w:rFonts w:asciiTheme="majorHAnsi" w:hAnsiTheme="majorHAnsi" w:cstheme="majorHAnsi"/>
          <w:sz w:val="24"/>
          <w:szCs w:val="24"/>
        </w:rPr>
        <w:t xml:space="preserve"> dvo</w:t>
      </w:r>
      <w:r w:rsidR="00590F2B">
        <w:rPr>
          <w:rFonts w:asciiTheme="majorHAnsi" w:hAnsiTheme="majorHAnsi" w:cstheme="majorHAnsi"/>
          <w:sz w:val="24"/>
          <w:szCs w:val="24"/>
        </w:rPr>
        <w:t>u</w:t>
      </w:r>
      <w:r w:rsidRPr="007C43D3">
        <w:rPr>
          <w:rFonts w:asciiTheme="majorHAnsi" w:hAnsiTheme="majorHAnsi" w:cstheme="majorHAnsi"/>
          <w:sz w:val="24"/>
          <w:szCs w:val="24"/>
        </w:rPr>
        <w:t>křídlé (hlavní křídlo 92 cm, vedlejší 78 cm) s otevíráním vně a opatřené madly. Prosklené plochy jsou označeny v ho</w:t>
      </w:r>
      <w:r w:rsidR="007C43D3">
        <w:rPr>
          <w:rFonts w:asciiTheme="majorHAnsi" w:hAnsiTheme="majorHAnsi" w:cstheme="majorHAnsi"/>
          <w:sz w:val="24"/>
          <w:szCs w:val="24"/>
        </w:rPr>
        <w:t>r</w:t>
      </w:r>
      <w:r w:rsidRPr="007C43D3">
        <w:rPr>
          <w:rFonts w:asciiTheme="majorHAnsi" w:hAnsiTheme="majorHAnsi" w:cstheme="majorHAnsi"/>
          <w:sz w:val="24"/>
          <w:szCs w:val="24"/>
        </w:rPr>
        <w:t>ní a dolní úrovni, ale nejsou kontrastní, pouze bílé pásky. V interiéru se nachází přímé schodiště se zábradlím a mnoha schody, nebyly počítány, neboť se jedná o koleje s bezbariérovým ubytováním v přízemní části. Značení schodů bylo ojedinělé, vlivem stáří bylo na určitých místech ošoupané a vybledlé, tudíž neplnilo svou funkci. Interiér je tedy částečně přístupný, neboť do vyšších pater se student nedostane. Výtah ani plošina nebyly monitorovány z důvodu bezbariérové přístupnosti pokojů v přízemní části.</w:t>
      </w:r>
    </w:p>
    <w:p w:rsidR="006E11B6" w:rsidRPr="007C43D3" w:rsidRDefault="006E11B6" w:rsidP="006E11B6">
      <w:pPr>
        <w:spacing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Bylo monitorováno několik pokojů, společná kuchyň, k nimž se dostane po široké chodbě, kde se nachází vodicí linie (kovové) posazené na stěnách. Vodicí linie se nachází ve dvou úrovních (horní ve v. 90 cm, dolní ve v. 30 cm). Celková šíře chodby bez linií je 185 cm, s vodicími liniemi je 175 cm. Nejužší šířka chodby je v místě, kde se nachází hydrant (tj. 156 cm). Ostatní dveře (z buněk, kuchyňky a prádelny) se otvírají do přístupové chodby a jsou opatřeny madly.</w:t>
      </w: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834AF7" w:rsidP="006E11B6">
      <w:pPr>
        <w:numPr>
          <w:ilvl w:val="0"/>
          <w:numId w:val="2"/>
        </w:numPr>
        <w:suppressAutoHyphens/>
        <w:spacing w:after="0" w:line="276" w:lineRule="auto"/>
        <w:jc w:val="both"/>
        <w:rPr>
          <w:rFonts w:asciiTheme="majorHAnsi" w:hAnsiTheme="majorHAnsi" w:cstheme="majorHAnsi"/>
          <w:b/>
          <w:sz w:val="24"/>
          <w:szCs w:val="24"/>
        </w:rPr>
      </w:pPr>
      <w:r>
        <w:rPr>
          <w:rFonts w:asciiTheme="majorHAnsi" w:hAnsiTheme="majorHAnsi" w:cstheme="majorHAnsi"/>
          <w:b/>
          <w:sz w:val="24"/>
          <w:szCs w:val="24"/>
        </w:rPr>
        <w:t>Buňka – vstup do jedno</w:t>
      </w:r>
      <w:r w:rsidR="006E11B6" w:rsidRPr="007C43D3">
        <w:rPr>
          <w:rFonts w:asciiTheme="majorHAnsi" w:hAnsiTheme="majorHAnsi" w:cstheme="majorHAnsi"/>
          <w:b/>
          <w:sz w:val="24"/>
          <w:szCs w:val="24"/>
        </w:rPr>
        <w:t xml:space="preserve">lůžkového a </w:t>
      </w:r>
      <w:r>
        <w:rPr>
          <w:rFonts w:asciiTheme="majorHAnsi" w:hAnsiTheme="majorHAnsi" w:cstheme="majorHAnsi"/>
          <w:b/>
          <w:sz w:val="24"/>
          <w:szCs w:val="24"/>
        </w:rPr>
        <w:t>dvou</w:t>
      </w:r>
      <w:r w:rsidR="006E11B6" w:rsidRPr="007C43D3">
        <w:rPr>
          <w:rFonts w:asciiTheme="majorHAnsi" w:hAnsiTheme="majorHAnsi" w:cstheme="majorHAnsi"/>
          <w:b/>
          <w:sz w:val="24"/>
          <w:szCs w:val="24"/>
        </w:rPr>
        <w:t>lůžkového pokoje</w:t>
      </w:r>
    </w:p>
    <w:p w:rsidR="006E11B6" w:rsidRPr="007C43D3" w:rsidRDefault="006E11B6" w:rsidP="006E11B6">
      <w:pPr>
        <w:spacing w:before="120"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 xml:space="preserve">Předsíň (hloubka 184 cm, š. 350 cm) je tvořena jednokřídlými dveřmi (š. 89 cm) otevírajícími se vně s madly uvnitř i vně.  Vypínač je </w:t>
      </w:r>
      <w:r w:rsidR="00590F2B" w:rsidRPr="007C43D3">
        <w:rPr>
          <w:rFonts w:asciiTheme="majorHAnsi" w:hAnsiTheme="majorHAnsi" w:cstheme="majorHAnsi"/>
          <w:sz w:val="24"/>
          <w:szCs w:val="24"/>
        </w:rPr>
        <w:t>umístěn</w:t>
      </w:r>
      <w:r w:rsidRPr="007C43D3">
        <w:rPr>
          <w:rFonts w:asciiTheme="majorHAnsi" w:hAnsiTheme="majorHAnsi" w:cstheme="majorHAnsi"/>
          <w:sz w:val="24"/>
          <w:szCs w:val="24"/>
        </w:rPr>
        <w:t xml:space="preserve"> ve v. 86 cm, stejně tak i zásuvky. Výška botníku je 121</w:t>
      </w:r>
      <w:r w:rsidR="00590F2B">
        <w:rPr>
          <w:rFonts w:asciiTheme="majorHAnsi" w:hAnsiTheme="majorHAnsi" w:cstheme="majorHAnsi"/>
          <w:sz w:val="24"/>
          <w:szCs w:val="24"/>
        </w:rPr>
        <w:t xml:space="preserve"> </w:t>
      </w:r>
      <w:r w:rsidRPr="007C43D3">
        <w:rPr>
          <w:rFonts w:asciiTheme="majorHAnsi" w:hAnsiTheme="majorHAnsi" w:cstheme="majorHAnsi"/>
          <w:sz w:val="24"/>
          <w:szCs w:val="24"/>
        </w:rPr>
        <w:t>cm.</w:t>
      </w:r>
    </w:p>
    <w:p w:rsidR="006E11B6" w:rsidRPr="007C43D3" w:rsidRDefault="00590F2B" w:rsidP="006E11B6">
      <w:pPr>
        <w:spacing w:after="0" w:line="276" w:lineRule="auto"/>
        <w:jc w:val="both"/>
        <w:rPr>
          <w:rFonts w:asciiTheme="majorHAnsi" w:hAnsiTheme="majorHAnsi" w:cstheme="majorHAnsi"/>
          <w:sz w:val="24"/>
          <w:szCs w:val="24"/>
        </w:rPr>
      </w:pPr>
      <w:r>
        <w:rPr>
          <w:rFonts w:asciiTheme="majorHAnsi" w:hAnsiTheme="majorHAnsi" w:cstheme="majorHAnsi"/>
          <w:sz w:val="24"/>
          <w:szCs w:val="24"/>
        </w:rPr>
        <w:lastRenderedPageBreak/>
        <w:t>Vstup do jedno</w:t>
      </w:r>
      <w:r w:rsidRPr="007C43D3">
        <w:rPr>
          <w:rFonts w:asciiTheme="majorHAnsi" w:hAnsiTheme="majorHAnsi" w:cstheme="majorHAnsi"/>
          <w:sz w:val="24"/>
          <w:szCs w:val="24"/>
        </w:rPr>
        <w:t>lůžkového</w:t>
      </w:r>
      <w:r w:rsidR="006E11B6" w:rsidRPr="007C43D3">
        <w:rPr>
          <w:rFonts w:asciiTheme="majorHAnsi" w:hAnsiTheme="majorHAnsi" w:cstheme="majorHAnsi"/>
          <w:sz w:val="24"/>
          <w:szCs w:val="24"/>
        </w:rPr>
        <w:t xml:space="preserve"> pokoje je tvořen jednokřídlými mechanickými dveřmi (š. 89 cm) otevírajícími se vně s madly na obou stranách. Hloubka celé místnosti je 355 cm, šířka 483 cm. Postel ve výšce 54 cm, s nočním stolkem (v. 86 cm) a výklopným prknem (v. 77 cm).  Výška psacího stolu 74 cm, vypínače a zásuvky jsou ve výšce 88 cm a skříně ve v. 145 cm).</w:t>
      </w: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590F2B" w:rsidP="006E11B6">
      <w:pPr>
        <w:spacing w:after="0" w:line="276" w:lineRule="auto"/>
        <w:jc w:val="both"/>
        <w:rPr>
          <w:rFonts w:asciiTheme="majorHAnsi" w:hAnsiTheme="majorHAnsi" w:cstheme="majorHAnsi"/>
          <w:sz w:val="24"/>
          <w:szCs w:val="24"/>
        </w:rPr>
      </w:pPr>
      <w:r>
        <w:rPr>
          <w:rFonts w:asciiTheme="majorHAnsi" w:hAnsiTheme="majorHAnsi" w:cstheme="majorHAnsi"/>
          <w:sz w:val="24"/>
          <w:szCs w:val="24"/>
        </w:rPr>
        <w:t>Vstup do dvou</w:t>
      </w:r>
      <w:r w:rsidR="006E11B6" w:rsidRPr="007C43D3">
        <w:rPr>
          <w:rFonts w:asciiTheme="majorHAnsi" w:hAnsiTheme="majorHAnsi" w:cstheme="majorHAnsi"/>
          <w:sz w:val="24"/>
          <w:szCs w:val="24"/>
        </w:rPr>
        <w:t>lůžkového pokoje je tvořen jednokřídlými mechanickými dveřmi (š. 89 cm), otevírajícími se dovnitř s madly z obou stran. Hloubka místnosti 277</w:t>
      </w:r>
      <w:r>
        <w:rPr>
          <w:rFonts w:asciiTheme="majorHAnsi" w:hAnsiTheme="majorHAnsi" w:cstheme="majorHAnsi"/>
          <w:sz w:val="24"/>
          <w:szCs w:val="24"/>
        </w:rPr>
        <w:t xml:space="preserve"> </w:t>
      </w:r>
      <w:r w:rsidR="006E11B6" w:rsidRPr="007C43D3">
        <w:rPr>
          <w:rFonts w:asciiTheme="majorHAnsi" w:hAnsiTheme="majorHAnsi" w:cstheme="majorHAnsi"/>
          <w:sz w:val="24"/>
          <w:szCs w:val="24"/>
        </w:rPr>
        <w:t>cm, š. 663 cm, je zde zúžený průjezd (v nejužším místě 119 cm)</w:t>
      </w:r>
      <w:r>
        <w:rPr>
          <w:rFonts w:asciiTheme="majorHAnsi" w:hAnsiTheme="majorHAnsi" w:cstheme="majorHAnsi"/>
          <w:sz w:val="24"/>
          <w:szCs w:val="24"/>
        </w:rPr>
        <w:t>. Výška skříní s nástavcem je ve v. 205 cm, bez ná</w:t>
      </w:r>
      <w:r w:rsidR="006E11B6" w:rsidRPr="007C43D3">
        <w:rPr>
          <w:rFonts w:asciiTheme="majorHAnsi" w:hAnsiTheme="majorHAnsi" w:cstheme="majorHAnsi"/>
          <w:sz w:val="24"/>
          <w:szCs w:val="24"/>
        </w:rPr>
        <w:t xml:space="preserve">stavce 145 cm. Psací stůl ve v. 73 cm, s židlí (v. </w:t>
      </w:r>
      <w:proofErr w:type="spellStart"/>
      <w:r w:rsidR="006E11B6" w:rsidRPr="007C43D3">
        <w:rPr>
          <w:rFonts w:asciiTheme="majorHAnsi" w:hAnsiTheme="majorHAnsi" w:cstheme="majorHAnsi"/>
          <w:sz w:val="24"/>
          <w:szCs w:val="24"/>
        </w:rPr>
        <w:t>podsedáku</w:t>
      </w:r>
      <w:proofErr w:type="spellEnd"/>
      <w:r w:rsidR="006E11B6" w:rsidRPr="007C43D3">
        <w:rPr>
          <w:rFonts w:asciiTheme="majorHAnsi" w:hAnsiTheme="majorHAnsi" w:cstheme="majorHAnsi"/>
          <w:sz w:val="24"/>
          <w:szCs w:val="24"/>
        </w:rPr>
        <w:t xml:space="preserve"> 46 cm).</w:t>
      </w: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834AF7" w:rsidP="006E11B6">
      <w:pPr>
        <w:numPr>
          <w:ilvl w:val="0"/>
          <w:numId w:val="2"/>
        </w:numPr>
        <w:suppressAutoHyphens/>
        <w:spacing w:after="0" w:line="276" w:lineRule="auto"/>
        <w:jc w:val="both"/>
        <w:rPr>
          <w:rFonts w:asciiTheme="majorHAnsi" w:hAnsiTheme="majorHAnsi" w:cstheme="majorHAnsi"/>
          <w:b/>
          <w:sz w:val="24"/>
          <w:szCs w:val="24"/>
        </w:rPr>
      </w:pPr>
      <w:r>
        <w:rPr>
          <w:rFonts w:asciiTheme="majorHAnsi" w:hAnsiTheme="majorHAnsi" w:cstheme="majorHAnsi"/>
          <w:b/>
          <w:sz w:val="24"/>
          <w:szCs w:val="24"/>
        </w:rPr>
        <w:t>Buňka – vstup do jedno</w:t>
      </w:r>
      <w:r w:rsidR="006E11B6" w:rsidRPr="007C43D3">
        <w:rPr>
          <w:rFonts w:asciiTheme="majorHAnsi" w:hAnsiTheme="majorHAnsi" w:cstheme="majorHAnsi"/>
          <w:b/>
          <w:sz w:val="24"/>
          <w:szCs w:val="24"/>
        </w:rPr>
        <w:t xml:space="preserve">lůžkového a </w:t>
      </w:r>
      <w:r>
        <w:rPr>
          <w:rFonts w:asciiTheme="majorHAnsi" w:hAnsiTheme="majorHAnsi" w:cstheme="majorHAnsi"/>
          <w:b/>
          <w:sz w:val="24"/>
          <w:szCs w:val="24"/>
        </w:rPr>
        <w:t>dvou</w:t>
      </w:r>
      <w:r w:rsidR="006E11B6" w:rsidRPr="007C43D3">
        <w:rPr>
          <w:rFonts w:asciiTheme="majorHAnsi" w:hAnsiTheme="majorHAnsi" w:cstheme="majorHAnsi"/>
          <w:b/>
          <w:sz w:val="24"/>
          <w:szCs w:val="24"/>
        </w:rPr>
        <w:t>lůžkového pokoje</w:t>
      </w:r>
    </w:p>
    <w:p w:rsidR="006E11B6" w:rsidRPr="007C43D3" w:rsidRDefault="006E11B6" w:rsidP="006E11B6">
      <w:pPr>
        <w:spacing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Vstup do předsíně je tvořen jednokřídlými dveřmi (š. 90 cm) otevírajícími se ven do chodby. Předsíň (hloubka 225 cm, š. 290 cm) obsahuje botník s třemi šuplíky (nejvyšší šuplík je ve v. 113 cm, nejnižš</w:t>
      </w:r>
      <w:r w:rsidR="00834AF7">
        <w:rPr>
          <w:rFonts w:asciiTheme="majorHAnsi" w:hAnsiTheme="majorHAnsi" w:cstheme="majorHAnsi"/>
          <w:sz w:val="24"/>
          <w:szCs w:val="24"/>
        </w:rPr>
        <w:t>í v. 42 cm) Vypínače jsou umíst</w:t>
      </w:r>
      <w:r w:rsidRPr="007C43D3">
        <w:rPr>
          <w:rFonts w:asciiTheme="majorHAnsi" w:hAnsiTheme="majorHAnsi" w:cstheme="majorHAnsi"/>
          <w:sz w:val="24"/>
          <w:szCs w:val="24"/>
        </w:rPr>
        <w:t xml:space="preserve">ěny ve v. 85 cm, stejně tak i zásuvky. </w:t>
      </w: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834AF7" w:rsidP="006E11B6">
      <w:pPr>
        <w:spacing w:after="0" w:line="276" w:lineRule="auto"/>
        <w:jc w:val="both"/>
        <w:rPr>
          <w:rFonts w:asciiTheme="majorHAnsi" w:hAnsiTheme="majorHAnsi" w:cstheme="majorHAnsi"/>
          <w:sz w:val="24"/>
          <w:szCs w:val="24"/>
        </w:rPr>
      </w:pPr>
      <w:r>
        <w:rPr>
          <w:rFonts w:asciiTheme="majorHAnsi" w:hAnsiTheme="majorHAnsi" w:cstheme="majorHAnsi"/>
          <w:sz w:val="24"/>
          <w:szCs w:val="24"/>
        </w:rPr>
        <w:t>Vstup do jedno</w:t>
      </w:r>
      <w:r w:rsidR="006E11B6" w:rsidRPr="007C43D3">
        <w:rPr>
          <w:rFonts w:asciiTheme="majorHAnsi" w:hAnsiTheme="majorHAnsi" w:cstheme="majorHAnsi"/>
          <w:sz w:val="24"/>
          <w:szCs w:val="24"/>
        </w:rPr>
        <w:t>lůžkového pokoje, který je určen pro studenty bez asistenta, je tvořen jednokřídlými mechanickými dveřmi (š. 90 cm) otevírajícími se vně. Hloubka celé místnosti je 345 cm, šířka 517 cm. Postel ve výšce 53 cm (v případě potřeby se dá snížit cca o 5 cm výměnou matrace), s nočním stolkem (v. 86 cm) a výklopným prknem (v. 77 cm), na němž se může např. jíst.  Výška psacího stolu 71 cm. Část okna je přístupná volně, v další části se nachází radiátor. Otvírání je ve v. 145 cm. Vypínače a zásuvky jsou ve výšce 85 cm a otvírání skříně ve v. 80 cm. Pokoj je vybaven in</w:t>
      </w:r>
      <w:r w:rsidR="007C43D3" w:rsidRPr="007C43D3">
        <w:rPr>
          <w:rFonts w:asciiTheme="majorHAnsi" w:hAnsiTheme="majorHAnsi" w:cstheme="majorHAnsi"/>
          <w:sz w:val="24"/>
          <w:szCs w:val="24"/>
        </w:rPr>
        <w:t>ternetovým připojením a TV</w:t>
      </w:r>
      <w:r w:rsidR="006E11B6" w:rsidRPr="007C43D3">
        <w:rPr>
          <w:rFonts w:asciiTheme="majorHAnsi" w:hAnsiTheme="majorHAnsi" w:cstheme="majorHAnsi"/>
          <w:sz w:val="24"/>
          <w:szCs w:val="24"/>
        </w:rPr>
        <w:t xml:space="preserve"> připojením, zásuvky na připojení jsou ve v. 90 cm od podlahy.</w:t>
      </w:r>
    </w:p>
    <w:p w:rsidR="006E11B6" w:rsidRPr="007C43D3" w:rsidRDefault="006E11B6" w:rsidP="006E11B6">
      <w:pPr>
        <w:spacing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br/>
        <w:t>Vstup 2 lůžkového pokoje je tvořen jednokřídlými mechanickými dveřmi (š. 90 cm), otevírajícími se ven s madly z obou stran. Hloubka místnosti 295 cm, š. 627 cm, je zde zúžený průjezd, mezi skříní a stěnou (v nejužším místě 147 cm), zúžená šířka mezi postelemi (435 cm). Postel ve výšce 53 cm (v případě potřeby se dá snížit cca o 5 cm výměnou matrace), s nočním stolkem (v. 86 cm) a výklopným prknem (v. 77 cm), na němž se může např. jíst.  Výška psacího stolu je 71 cm. Okna jsou volně přístupná. Skříně jsou vyšší, nižší má otvírání ve v. 80 cm a nad ní se nachází ještě jedna, která má otvírání ve v. 175 cm. Vypínače a zásuvky jsou ve výšce 85 cm a otvírání skříně ve v. 80 cm. Pokoj je vybaven internetovým připojením a T</w:t>
      </w:r>
      <w:r w:rsidR="005910CA">
        <w:rPr>
          <w:rFonts w:asciiTheme="majorHAnsi" w:hAnsiTheme="majorHAnsi" w:cstheme="majorHAnsi"/>
          <w:sz w:val="24"/>
          <w:szCs w:val="24"/>
        </w:rPr>
        <w:t>V</w:t>
      </w:r>
      <w:r w:rsidRPr="007C43D3">
        <w:rPr>
          <w:rFonts w:asciiTheme="majorHAnsi" w:hAnsiTheme="majorHAnsi" w:cstheme="majorHAnsi"/>
          <w:sz w:val="24"/>
          <w:szCs w:val="24"/>
        </w:rPr>
        <w:t xml:space="preserve"> připojením, zásuvky na připojení jsou ve v. 90 cm od podlahy.</w:t>
      </w:r>
    </w:p>
    <w:p w:rsidR="006E11B6" w:rsidRPr="007C43D3" w:rsidRDefault="006E11B6" w:rsidP="006E11B6">
      <w:pPr>
        <w:spacing w:after="0" w:line="276" w:lineRule="auto"/>
        <w:ind w:firstLine="708"/>
        <w:jc w:val="both"/>
        <w:rPr>
          <w:rFonts w:asciiTheme="majorHAnsi" w:hAnsiTheme="majorHAnsi" w:cstheme="majorHAnsi"/>
          <w:b/>
          <w:sz w:val="24"/>
          <w:szCs w:val="24"/>
        </w:rPr>
      </w:pPr>
    </w:p>
    <w:p w:rsidR="006E11B6" w:rsidRPr="007C43D3" w:rsidRDefault="006E11B6" w:rsidP="006E11B6">
      <w:pPr>
        <w:pStyle w:val="Nadpis1"/>
        <w:rPr>
          <w:rFonts w:cstheme="majorHAnsi"/>
          <w:b/>
          <w:szCs w:val="24"/>
        </w:rPr>
      </w:pPr>
      <w:r w:rsidRPr="007C43D3">
        <w:rPr>
          <w:rFonts w:cstheme="majorHAnsi"/>
          <w:b/>
          <w:szCs w:val="24"/>
        </w:rPr>
        <w:t xml:space="preserve">KUCHYŇ </w:t>
      </w:r>
    </w:p>
    <w:p w:rsidR="006E11B6" w:rsidRPr="007C43D3" w:rsidRDefault="006E11B6" w:rsidP="006E11B6">
      <w:pPr>
        <w:spacing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 xml:space="preserve">Vstup do kuchyně je přes jednokřídlé mechanické dveře, otevírající se ven (š. 90 cm) se dvěma madly. Místnost má hloubku 516 cm, šířku 710 cm. Vypínač umístěn po pravé straně (v. 87 cm). Je zde stůl (v. 77 cm) s židlemi (od podsedku v. 46 cm). Mezi jídelním stolem a pracovní linkou je v nejužším místě průjezd 132 cm. Po pravé </w:t>
      </w:r>
      <w:r w:rsidRPr="007C43D3">
        <w:rPr>
          <w:rFonts w:asciiTheme="majorHAnsi" w:hAnsiTheme="majorHAnsi" w:cstheme="majorHAnsi"/>
          <w:sz w:val="24"/>
          <w:szCs w:val="24"/>
        </w:rPr>
        <w:lastRenderedPageBreak/>
        <w:t>straně od stolu je umístěna pracovní linka (v. 132 cm, podjezd 70 cm) s digestoří (od pracovní linky v. 65 cm) a policemi (nad linkou v. 33</w:t>
      </w:r>
      <w:r w:rsidR="005910CA">
        <w:rPr>
          <w:rFonts w:asciiTheme="majorHAnsi" w:hAnsiTheme="majorHAnsi" w:cstheme="majorHAnsi"/>
          <w:sz w:val="24"/>
          <w:szCs w:val="24"/>
        </w:rPr>
        <w:t xml:space="preserve"> </w:t>
      </w:r>
      <w:r w:rsidRPr="007C43D3">
        <w:rPr>
          <w:rFonts w:asciiTheme="majorHAnsi" w:hAnsiTheme="majorHAnsi" w:cstheme="majorHAnsi"/>
          <w:sz w:val="24"/>
          <w:szCs w:val="24"/>
        </w:rPr>
        <w:t>cm). Výška pákové baterie v umyvadle (96 cm, š. 47 cm), mikrovlnná trouba (horní tlačítko ve v. 107 cm), pečicí trouba (horní tlačítko v. 77 cm), myčka s výklopnými dveřmi směrem ven – mechanická (v. 78 cm), lednice (v. 124 cm). Vedle lednice je umí</w:t>
      </w:r>
      <w:r w:rsidR="005910CA">
        <w:rPr>
          <w:rFonts w:asciiTheme="majorHAnsi" w:hAnsiTheme="majorHAnsi" w:cstheme="majorHAnsi"/>
          <w:sz w:val="24"/>
          <w:szCs w:val="24"/>
        </w:rPr>
        <w:t>stěna potravní skříň (v. 80 cm)</w:t>
      </w:r>
      <w:r w:rsidRPr="007C43D3">
        <w:rPr>
          <w:rFonts w:asciiTheme="majorHAnsi" w:hAnsiTheme="majorHAnsi" w:cstheme="majorHAnsi"/>
          <w:sz w:val="24"/>
          <w:szCs w:val="24"/>
        </w:rPr>
        <w:t xml:space="preserve"> mobilní na pojízdných kolečkách. Nechybí ani hasicí přístroj (v. 105 cm). </w:t>
      </w:r>
    </w:p>
    <w:p w:rsidR="006E11B6" w:rsidRPr="007C43D3" w:rsidRDefault="006E11B6" w:rsidP="006E11B6">
      <w:pPr>
        <w:spacing w:after="0" w:line="276" w:lineRule="auto"/>
        <w:jc w:val="both"/>
        <w:rPr>
          <w:rFonts w:asciiTheme="majorHAnsi" w:hAnsiTheme="majorHAnsi" w:cstheme="majorHAnsi"/>
          <w:sz w:val="24"/>
          <w:szCs w:val="24"/>
        </w:rPr>
      </w:pPr>
    </w:p>
    <w:p w:rsidR="006E11B6" w:rsidRPr="007C43D3" w:rsidRDefault="006E11B6" w:rsidP="006E11B6">
      <w:pPr>
        <w:pStyle w:val="Nadpis1"/>
        <w:rPr>
          <w:rFonts w:cstheme="majorHAnsi"/>
          <w:b/>
          <w:szCs w:val="24"/>
        </w:rPr>
      </w:pPr>
      <w:r w:rsidRPr="007C43D3">
        <w:rPr>
          <w:rFonts w:cstheme="majorHAnsi"/>
          <w:b/>
          <w:szCs w:val="24"/>
        </w:rPr>
        <w:t>HYGIENICKÉ ZÁZEMÍ</w:t>
      </w:r>
    </w:p>
    <w:p w:rsidR="006E11B6" w:rsidRPr="007C43D3" w:rsidRDefault="006E11B6" w:rsidP="006E11B6">
      <w:pPr>
        <w:numPr>
          <w:ilvl w:val="0"/>
          <w:numId w:val="3"/>
        </w:numPr>
        <w:suppressAutoHyphens/>
        <w:spacing w:before="120" w:after="0" w:line="276" w:lineRule="auto"/>
        <w:ind w:left="714" w:hanging="357"/>
        <w:jc w:val="both"/>
        <w:rPr>
          <w:rFonts w:asciiTheme="majorHAnsi" w:hAnsiTheme="majorHAnsi" w:cstheme="majorHAnsi"/>
          <w:b/>
          <w:sz w:val="24"/>
          <w:szCs w:val="24"/>
        </w:rPr>
      </w:pPr>
      <w:r w:rsidRPr="007C43D3">
        <w:rPr>
          <w:rFonts w:asciiTheme="majorHAnsi" w:hAnsiTheme="majorHAnsi" w:cstheme="majorHAnsi"/>
          <w:b/>
          <w:sz w:val="24"/>
          <w:szCs w:val="24"/>
        </w:rPr>
        <w:t xml:space="preserve">Buňka – vstup do </w:t>
      </w:r>
      <w:r w:rsidR="00834AF7">
        <w:rPr>
          <w:rFonts w:asciiTheme="majorHAnsi" w:hAnsiTheme="majorHAnsi" w:cstheme="majorHAnsi"/>
          <w:b/>
          <w:sz w:val="24"/>
          <w:szCs w:val="24"/>
        </w:rPr>
        <w:t>jedno</w:t>
      </w:r>
      <w:r w:rsidRPr="007C43D3">
        <w:rPr>
          <w:rFonts w:asciiTheme="majorHAnsi" w:hAnsiTheme="majorHAnsi" w:cstheme="majorHAnsi"/>
          <w:b/>
          <w:sz w:val="24"/>
          <w:szCs w:val="24"/>
        </w:rPr>
        <w:t xml:space="preserve">lůžkového a </w:t>
      </w:r>
      <w:r w:rsidR="00834AF7">
        <w:rPr>
          <w:rFonts w:asciiTheme="majorHAnsi" w:hAnsiTheme="majorHAnsi" w:cstheme="majorHAnsi"/>
          <w:b/>
          <w:sz w:val="24"/>
          <w:szCs w:val="24"/>
        </w:rPr>
        <w:t>dvou</w:t>
      </w:r>
      <w:r w:rsidRPr="007C43D3">
        <w:rPr>
          <w:rFonts w:asciiTheme="majorHAnsi" w:hAnsiTheme="majorHAnsi" w:cstheme="majorHAnsi"/>
          <w:b/>
          <w:sz w:val="24"/>
          <w:szCs w:val="24"/>
        </w:rPr>
        <w:t>lůžkového pokoje</w:t>
      </w:r>
    </w:p>
    <w:p w:rsidR="006E11B6" w:rsidRPr="007C43D3" w:rsidRDefault="006E11B6" w:rsidP="006E11B6">
      <w:pPr>
        <w:spacing w:before="120"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V předsíni vede jeden vchod do bezbariérové koupelny s WC. Ta je volně přístupná. Dveře (š. 90 cm) do kabiny se otvírají směrem z kabiny, jsou opatřeny z obou stran madly.  Je zde umístěn vypínač ve v. 86 cm. Kabina má šířku 223 cm a hloubku 256 cm. Vzdálenost levého boku mísy k levé stěně</w:t>
      </w:r>
      <w:r w:rsidR="007C43D3" w:rsidRPr="007C43D3">
        <w:rPr>
          <w:rFonts w:asciiTheme="majorHAnsi" w:hAnsiTheme="majorHAnsi" w:cstheme="majorHAnsi"/>
          <w:sz w:val="24"/>
          <w:szCs w:val="24"/>
        </w:rPr>
        <w:t xml:space="preserve"> </w:t>
      </w:r>
      <w:r w:rsidRPr="007C43D3">
        <w:rPr>
          <w:rFonts w:asciiTheme="majorHAnsi" w:hAnsiTheme="majorHAnsi" w:cstheme="majorHAnsi"/>
          <w:sz w:val="24"/>
          <w:szCs w:val="24"/>
        </w:rPr>
        <w:t>189 cm, a pravého boku k pravé stěně 30 cm, výška sedátka 50 cm, WC štětka je umístěna od rohu 75 cm, výška 42 cm, prostor pro manipulaci s vozíkem je dostatečný a volný. Toaletní papír se zde nenachází, obyvatelé si jej kupují sami. Splachování mechanické se nachází vzadu za WC mísou (v. 59 cm, z boku v. 10</w:t>
      </w:r>
      <w:r w:rsidR="005910CA">
        <w:rPr>
          <w:rFonts w:asciiTheme="majorHAnsi" w:hAnsiTheme="majorHAnsi" w:cstheme="majorHAnsi"/>
          <w:sz w:val="24"/>
          <w:szCs w:val="24"/>
        </w:rPr>
        <w:t>4 cm, vzdálenost od rohu 47 cm) v</w:t>
      </w:r>
      <w:r w:rsidRPr="007C43D3">
        <w:rPr>
          <w:rFonts w:asciiTheme="majorHAnsi" w:hAnsiTheme="majorHAnsi" w:cstheme="majorHAnsi"/>
          <w:sz w:val="24"/>
          <w:szCs w:val="24"/>
        </w:rPr>
        <w:t xml:space="preserve"> pořádku. Madla oboustranná </w:t>
      </w:r>
      <w:r w:rsidR="005910CA">
        <w:rPr>
          <w:rFonts w:asciiTheme="majorHAnsi" w:hAnsiTheme="majorHAnsi" w:cstheme="majorHAnsi"/>
          <w:sz w:val="24"/>
          <w:szCs w:val="24"/>
        </w:rPr>
        <w:t>–</w:t>
      </w:r>
      <w:r w:rsidRPr="007C43D3">
        <w:rPr>
          <w:rFonts w:asciiTheme="majorHAnsi" w:hAnsiTheme="majorHAnsi" w:cstheme="majorHAnsi"/>
          <w:sz w:val="24"/>
          <w:szCs w:val="24"/>
        </w:rPr>
        <w:t xml:space="preserve"> levé sklopné (délka 81 cm, v. 79 cm), pravé pevné (délka 59 cm, výška 79 cm), osová vzdálenost madel 78 cm. Výška umístění umyvadla je 79 cm, s podjezdem dostatečným. Baterie je páková, výška od podlahy 90 cm, madlo vodorovné – dvakrát (v. 80 cm, délka 53 cm). Zrcadlo je ve výšce 100 cm, sklopné. Sprcha (v. 51 cm, š. 43 cm) s madly – levé sklopné kombinované: při sezení (v. 68 cm), při stání (v. 142 cm), pravé sklopné (délka 81 cm, v. 81 cm), výška pákové baterie 96 cm a hlavice sprchy (v. 96 cm), výška nerezového košíku na mýdlo 82 cm a háčku na ručníky 111 cm. V koupelně je i signalizační tlačítko (v. 87 cm) se záchrannou brzdou (v. 85 cm).  Přebalovací pult není a běžné WC se v objektu nachází.</w:t>
      </w:r>
    </w:p>
    <w:p w:rsidR="006E11B6" w:rsidRPr="007C43D3" w:rsidRDefault="006E11B6" w:rsidP="006E11B6">
      <w:pPr>
        <w:spacing w:after="0" w:line="276" w:lineRule="auto"/>
        <w:ind w:left="720"/>
        <w:jc w:val="both"/>
        <w:rPr>
          <w:rFonts w:asciiTheme="majorHAnsi" w:hAnsiTheme="majorHAnsi" w:cstheme="majorHAnsi"/>
          <w:b/>
          <w:sz w:val="24"/>
          <w:szCs w:val="24"/>
        </w:rPr>
      </w:pPr>
    </w:p>
    <w:p w:rsidR="006E11B6" w:rsidRPr="007C43D3" w:rsidRDefault="006E11B6" w:rsidP="006E11B6">
      <w:pPr>
        <w:numPr>
          <w:ilvl w:val="0"/>
          <w:numId w:val="3"/>
        </w:numPr>
        <w:suppressAutoHyphens/>
        <w:spacing w:after="0" w:line="276" w:lineRule="auto"/>
        <w:jc w:val="both"/>
        <w:rPr>
          <w:rFonts w:asciiTheme="majorHAnsi" w:hAnsiTheme="majorHAnsi" w:cstheme="majorHAnsi"/>
          <w:b/>
          <w:sz w:val="24"/>
          <w:szCs w:val="24"/>
        </w:rPr>
      </w:pPr>
      <w:r w:rsidRPr="007C43D3">
        <w:rPr>
          <w:rFonts w:asciiTheme="majorHAnsi" w:hAnsiTheme="majorHAnsi" w:cstheme="majorHAnsi"/>
          <w:b/>
          <w:sz w:val="24"/>
          <w:szCs w:val="24"/>
        </w:rPr>
        <w:t xml:space="preserve">Buňka – vstup do </w:t>
      </w:r>
      <w:r w:rsidR="00834AF7">
        <w:rPr>
          <w:rFonts w:asciiTheme="majorHAnsi" w:hAnsiTheme="majorHAnsi" w:cstheme="majorHAnsi"/>
          <w:b/>
          <w:sz w:val="24"/>
          <w:szCs w:val="24"/>
        </w:rPr>
        <w:t>jedno</w:t>
      </w:r>
      <w:r w:rsidRPr="007C43D3">
        <w:rPr>
          <w:rFonts w:asciiTheme="majorHAnsi" w:hAnsiTheme="majorHAnsi" w:cstheme="majorHAnsi"/>
          <w:b/>
          <w:sz w:val="24"/>
          <w:szCs w:val="24"/>
        </w:rPr>
        <w:t xml:space="preserve">lůžkového a </w:t>
      </w:r>
      <w:r w:rsidR="00834AF7">
        <w:rPr>
          <w:rFonts w:asciiTheme="majorHAnsi" w:hAnsiTheme="majorHAnsi" w:cstheme="majorHAnsi"/>
          <w:b/>
          <w:sz w:val="24"/>
          <w:szCs w:val="24"/>
        </w:rPr>
        <w:t>dvou</w:t>
      </w:r>
      <w:r w:rsidRPr="007C43D3">
        <w:rPr>
          <w:rFonts w:asciiTheme="majorHAnsi" w:hAnsiTheme="majorHAnsi" w:cstheme="majorHAnsi"/>
          <w:b/>
          <w:sz w:val="24"/>
          <w:szCs w:val="24"/>
        </w:rPr>
        <w:t>lůžkového pokoje</w:t>
      </w:r>
    </w:p>
    <w:p w:rsidR="006E11B6" w:rsidRPr="007C43D3" w:rsidRDefault="006E11B6" w:rsidP="006E11B6">
      <w:pPr>
        <w:spacing w:before="120" w:after="0" w:line="276" w:lineRule="auto"/>
        <w:jc w:val="both"/>
        <w:rPr>
          <w:rFonts w:asciiTheme="majorHAnsi" w:hAnsiTheme="majorHAnsi" w:cstheme="majorHAnsi"/>
          <w:sz w:val="24"/>
          <w:szCs w:val="24"/>
        </w:rPr>
      </w:pPr>
      <w:r w:rsidRPr="007C43D3">
        <w:rPr>
          <w:rFonts w:asciiTheme="majorHAnsi" w:hAnsiTheme="majorHAnsi" w:cstheme="majorHAnsi"/>
          <w:sz w:val="24"/>
          <w:szCs w:val="24"/>
        </w:rPr>
        <w:t>V předsíni vede jeden vchod do bezbariérové koupelny s WC. Ta je volně přístupná. Dveře (š. 90 cm) do kabiny se otvírají směrem z kabiny, jsou opatřeny z obou stran madly.  Je zde umístěn vypínač ve v. 86 cm. Kabina má šířku při vstupu 173 cm (v nejširší části 224 cm) a hloubku 274 cm. Vzdálenost levého boku mísy k levé stěně 206 cm, a pravého boku k pravé stěně 30 cm, výška sedátka 46 cm, prostor pro manipulaci s vozíkem je dostatečný a volný. Toaletní papír se zde nenachází, obyvatelé si jej kupují sami. Splachování mechanické se nachází vzadu za WC mísou (v. 105 cm, z boku v. 98</w:t>
      </w:r>
      <w:r w:rsidR="005910CA">
        <w:rPr>
          <w:rFonts w:asciiTheme="majorHAnsi" w:hAnsiTheme="majorHAnsi" w:cstheme="majorHAnsi"/>
          <w:sz w:val="24"/>
          <w:szCs w:val="24"/>
        </w:rPr>
        <w:t xml:space="preserve"> cm, vzdálenost od rohu 50 cm) v</w:t>
      </w:r>
      <w:r w:rsidRPr="007C43D3">
        <w:rPr>
          <w:rFonts w:asciiTheme="majorHAnsi" w:hAnsiTheme="majorHAnsi" w:cstheme="majorHAnsi"/>
          <w:sz w:val="24"/>
          <w:szCs w:val="24"/>
        </w:rPr>
        <w:t xml:space="preserve"> pořádku. Madla oboustranná</w:t>
      </w:r>
      <w:r w:rsidR="005910CA">
        <w:rPr>
          <w:rFonts w:asciiTheme="majorHAnsi" w:hAnsiTheme="majorHAnsi" w:cstheme="majorHAnsi"/>
          <w:sz w:val="24"/>
          <w:szCs w:val="24"/>
        </w:rPr>
        <w:t xml:space="preserve"> –</w:t>
      </w:r>
      <w:r w:rsidRPr="007C43D3">
        <w:rPr>
          <w:rFonts w:asciiTheme="majorHAnsi" w:hAnsiTheme="majorHAnsi" w:cstheme="majorHAnsi"/>
          <w:sz w:val="24"/>
          <w:szCs w:val="24"/>
        </w:rPr>
        <w:t xml:space="preserve"> levé sklopné (délka 82 cm, v. 78 cm), pravé pevné (délka 59 cm, výška 78 cm), osová vzdálenost madel 77 cm. Výška umístění umyvadla je 80 cm, s podjezdem dostatečným. Baterie je páková, výška od podlahy 90 cm, madlo vodorovné – dvakrát (v. 80 cm, délka 54 cm). Zrcadlo je ve výšce 98 cm, sklopné. Sprcha se sedátkem (sklopné, v. 51 cm, od nejbližšího rohu odsazené 33 cm) a protiskluzovým povrchem s madly – levé sklopné (v. 82 m, délka 82 cm), pravé pevné při sprchové baterii ve tvaru L (výška od 68 cm</w:t>
      </w:r>
      <w:r w:rsidR="005910CA">
        <w:rPr>
          <w:rFonts w:asciiTheme="majorHAnsi" w:hAnsiTheme="majorHAnsi" w:cstheme="majorHAnsi"/>
          <w:sz w:val="24"/>
          <w:szCs w:val="24"/>
        </w:rPr>
        <w:t xml:space="preserve"> –</w:t>
      </w:r>
      <w:r w:rsidRPr="007C43D3">
        <w:rPr>
          <w:rFonts w:asciiTheme="majorHAnsi" w:hAnsiTheme="majorHAnsi" w:cstheme="majorHAnsi"/>
          <w:sz w:val="24"/>
          <w:szCs w:val="24"/>
        </w:rPr>
        <w:t xml:space="preserve"> 142 cm). Háček na ručníky v. 106 cm, zásuvky v. 85 cm. V koupelně se nachází celkem 3 signalizační tlačítka (2</w:t>
      </w:r>
      <w:r w:rsidR="005910CA">
        <w:rPr>
          <w:rFonts w:asciiTheme="majorHAnsi" w:hAnsiTheme="majorHAnsi" w:cstheme="majorHAnsi"/>
          <w:sz w:val="24"/>
          <w:szCs w:val="24"/>
        </w:rPr>
        <w:t>×</w:t>
      </w:r>
      <w:r w:rsidRPr="007C43D3">
        <w:rPr>
          <w:rFonts w:asciiTheme="majorHAnsi" w:hAnsiTheme="majorHAnsi" w:cstheme="majorHAnsi"/>
          <w:sz w:val="24"/>
          <w:szCs w:val="24"/>
        </w:rPr>
        <w:t xml:space="preserve"> horní část místnosti, 1</w:t>
      </w:r>
      <w:r w:rsidR="005910CA">
        <w:rPr>
          <w:rFonts w:asciiTheme="majorHAnsi" w:hAnsiTheme="majorHAnsi" w:cstheme="majorHAnsi"/>
          <w:sz w:val="24"/>
          <w:szCs w:val="24"/>
        </w:rPr>
        <w:t>×</w:t>
      </w:r>
      <w:r w:rsidRPr="007C43D3">
        <w:rPr>
          <w:rFonts w:asciiTheme="majorHAnsi" w:hAnsiTheme="majorHAnsi" w:cstheme="majorHAnsi"/>
          <w:sz w:val="24"/>
          <w:szCs w:val="24"/>
        </w:rPr>
        <w:t xml:space="preserve"> dolní část).  </w:t>
      </w:r>
    </w:p>
    <w:p w:rsidR="005F7934" w:rsidRDefault="006E11B6" w:rsidP="006E11B6">
      <w:pPr>
        <w:pStyle w:val="Nadpis1"/>
        <w:rPr>
          <w:rFonts w:cstheme="majorHAnsi"/>
          <w:sz w:val="24"/>
          <w:szCs w:val="24"/>
        </w:rPr>
      </w:pPr>
      <w:r w:rsidRPr="00A90B28">
        <w:rPr>
          <w:rFonts w:cstheme="majorHAnsi"/>
          <w:b/>
          <w:szCs w:val="24"/>
        </w:rPr>
        <w:lastRenderedPageBreak/>
        <w:t>FOTOGALERIE</w:t>
      </w:r>
      <w:r w:rsidR="005F7934" w:rsidRPr="005F7934">
        <w:rPr>
          <w:rFonts w:cstheme="majorHAnsi"/>
          <w:sz w:val="24"/>
          <w:szCs w:val="24"/>
        </w:rPr>
        <w:t xml:space="preserve"> </w:t>
      </w:r>
    </w:p>
    <w:p w:rsidR="005F7934" w:rsidRDefault="005F7934" w:rsidP="006E11B6">
      <w:pPr>
        <w:pStyle w:val="Nadpis1"/>
        <w:rPr>
          <w:rFonts w:cstheme="majorHAnsi"/>
          <w:color w:val="auto"/>
          <w:sz w:val="24"/>
          <w:szCs w:val="24"/>
        </w:rPr>
      </w:pPr>
      <w:r>
        <w:rPr>
          <w:rFonts w:cstheme="majorHAnsi"/>
          <w:color w:val="auto"/>
          <w:sz w:val="24"/>
          <w:szCs w:val="24"/>
        </w:rPr>
        <w:t>Obrázek 1.</w:t>
      </w:r>
      <w:r>
        <w:rPr>
          <w:rFonts w:cstheme="majorHAnsi"/>
          <w:color w:val="auto"/>
          <w:sz w:val="24"/>
          <w:szCs w:val="24"/>
        </w:rPr>
        <w:tab/>
      </w:r>
      <w:r w:rsidRPr="005F7934">
        <w:rPr>
          <w:rFonts w:cstheme="majorHAnsi"/>
          <w:b/>
          <w:color w:val="auto"/>
          <w:sz w:val="24"/>
          <w:szCs w:val="24"/>
        </w:rPr>
        <w:t>Pohled na hlavní vstup do budovy</w:t>
      </w:r>
    </w:p>
    <w:p w:rsidR="005F7934" w:rsidRDefault="005F7934" w:rsidP="006E11B6">
      <w:pPr>
        <w:pStyle w:val="Nadpis1"/>
        <w:rPr>
          <w:rFonts w:cstheme="majorHAnsi"/>
          <w:color w:val="auto"/>
          <w:sz w:val="24"/>
          <w:szCs w:val="24"/>
        </w:rPr>
      </w:pPr>
      <w:r>
        <w:rPr>
          <w:noProof/>
          <w:lang w:eastAsia="cs-CZ"/>
        </w:rPr>
        <w:drawing>
          <wp:inline distT="0" distB="0" distL="0" distR="0">
            <wp:extent cx="3600000" cy="2400000"/>
            <wp:effectExtent l="0" t="0" r="635" b="635"/>
            <wp:docPr id="3" name="Obrázek 3" descr="https://skm.upol.cz/fileadmin/userdata/cm/SKM/ubytovani/envelopa/jlf/jlf_ext/j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m.upol.cz/fileadmin/userdata/cm/SKM/ubytovani/envelopa/jlf/jlf_ext/jl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rsidR="005F7934" w:rsidRDefault="005F7934" w:rsidP="005F7934"/>
    <w:p w:rsidR="005F7934" w:rsidRDefault="005F7934" w:rsidP="005F7934">
      <w:pPr>
        <w:rPr>
          <w:rFonts w:asciiTheme="majorHAnsi" w:hAnsiTheme="majorHAnsi" w:cstheme="majorHAnsi"/>
          <w:sz w:val="24"/>
          <w:szCs w:val="24"/>
        </w:rPr>
      </w:pPr>
      <w:r>
        <w:rPr>
          <w:rFonts w:asciiTheme="majorHAnsi" w:hAnsiTheme="majorHAnsi" w:cstheme="majorHAnsi"/>
          <w:sz w:val="24"/>
          <w:szCs w:val="24"/>
        </w:rPr>
        <w:t xml:space="preserve">Obrázek 2. </w:t>
      </w:r>
      <w:r>
        <w:rPr>
          <w:rFonts w:asciiTheme="majorHAnsi" w:hAnsiTheme="majorHAnsi" w:cstheme="majorHAnsi"/>
          <w:sz w:val="24"/>
          <w:szCs w:val="24"/>
        </w:rPr>
        <w:tab/>
      </w:r>
      <w:r w:rsidRPr="005F7934">
        <w:rPr>
          <w:rFonts w:asciiTheme="majorHAnsi" w:hAnsiTheme="majorHAnsi" w:cstheme="majorHAnsi"/>
          <w:b/>
          <w:sz w:val="24"/>
          <w:szCs w:val="24"/>
        </w:rPr>
        <w:t xml:space="preserve">Chodba </w:t>
      </w:r>
      <w:r>
        <w:rPr>
          <w:rFonts w:asciiTheme="majorHAnsi" w:hAnsiTheme="majorHAnsi" w:cstheme="majorHAnsi"/>
          <w:b/>
          <w:sz w:val="24"/>
          <w:szCs w:val="24"/>
        </w:rPr>
        <w:t xml:space="preserve">v </w:t>
      </w:r>
      <w:r w:rsidRPr="005F7934">
        <w:rPr>
          <w:rFonts w:asciiTheme="majorHAnsi" w:hAnsiTheme="majorHAnsi" w:cstheme="majorHAnsi"/>
          <w:b/>
          <w:sz w:val="24"/>
          <w:szCs w:val="24"/>
        </w:rPr>
        <w:t>interiéru</w:t>
      </w:r>
    </w:p>
    <w:p w:rsidR="005F7934" w:rsidRDefault="005F7934" w:rsidP="005F7934">
      <w:pPr>
        <w:rPr>
          <w:rFonts w:asciiTheme="majorHAnsi" w:hAnsiTheme="majorHAnsi" w:cstheme="majorHAnsi"/>
          <w:sz w:val="24"/>
          <w:szCs w:val="24"/>
        </w:rPr>
      </w:pPr>
      <w:r>
        <w:rPr>
          <w:noProof/>
          <w:lang w:eastAsia="cs-CZ"/>
        </w:rPr>
        <w:drawing>
          <wp:inline distT="0" distB="0" distL="0" distR="0">
            <wp:extent cx="3600000" cy="2400000"/>
            <wp:effectExtent l="0" t="0" r="635" b="635"/>
            <wp:docPr id="31" name="Obrázek 31" descr="https://skm.upol.cz/fileadmin/userdata/cm/SKM/ubytovani/envelopa/jlf/jlf_ext/jl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m.upol.cz/fileadmin/userdata/cm/SKM/ubytovani/envelopa/jlf/jlf_ext/jlf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p>
    <w:p w:rsidR="005F7934" w:rsidRDefault="005F7934" w:rsidP="005F7934">
      <w:pPr>
        <w:rPr>
          <w:rFonts w:asciiTheme="majorHAnsi" w:hAnsiTheme="majorHAnsi" w:cstheme="majorHAnsi"/>
          <w:sz w:val="24"/>
          <w:szCs w:val="24"/>
        </w:rPr>
      </w:pPr>
      <w:r w:rsidRPr="005F7934">
        <w:rPr>
          <w:rFonts w:asciiTheme="majorHAnsi" w:hAnsiTheme="majorHAnsi" w:cstheme="majorHAnsi"/>
          <w:sz w:val="24"/>
          <w:szCs w:val="24"/>
        </w:rPr>
        <w:lastRenderedPageBreak/>
        <w:t>Obrázek</w:t>
      </w:r>
      <w:r>
        <w:rPr>
          <w:rFonts w:asciiTheme="majorHAnsi" w:hAnsiTheme="majorHAnsi" w:cstheme="majorHAnsi"/>
          <w:sz w:val="24"/>
          <w:szCs w:val="24"/>
        </w:rPr>
        <w:t xml:space="preserve"> 3.</w:t>
      </w:r>
      <w:r>
        <w:rPr>
          <w:rFonts w:asciiTheme="majorHAnsi" w:hAnsiTheme="majorHAnsi" w:cstheme="majorHAnsi"/>
          <w:sz w:val="24"/>
          <w:szCs w:val="24"/>
        </w:rPr>
        <w:tab/>
      </w:r>
      <w:r w:rsidRPr="005F7934">
        <w:rPr>
          <w:rFonts w:asciiTheme="majorHAnsi" w:hAnsiTheme="majorHAnsi" w:cstheme="majorHAnsi"/>
          <w:b/>
          <w:sz w:val="24"/>
          <w:szCs w:val="24"/>
        </w:rPr>
        <w:t>Pohled do výtahu</w:t>
      </w:r>
    </w:p>
    <w:p w:rsidR="005F7934" w:rsidRPr="005F7934" w:rsidRDefault="005F7934" w:rsidP="005F7934">
      <w:r>
        <w:rPr>
          <w:noProof/>
          <w:lang w:eastAsia="cs-CZ"/>
        </w:rPr>
        <w:drawing>
          <wp:inline distT="0" distB="0" distL="0" distR="0">
            <wp:extent cx="2400000" cy="3600000"/>
            <wp:effectExtent l="0" t="0" r="635" b="635"/>
            <wp:docPr id="18" name="Obrázek 18" descr="https://skm.upol.cz/fileadmin/userdata/cm/SKM/ubytovani/envelopa/jlf/jlf_ext/jl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m.upol.cz/fileadmin/userdata/cm/SKM/ubytovani/envelopa/jlf/jlf_ext/jlf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rsidR="006E11B6" w:rsidRPr="005F7934" w:rsidRDefault="005F7934" w:rsidP="006E11B6">
      <w:pPr>
        <w:pStyle w:val="Nadpis1"/>
        <w:rPr>
          <w:rFonts w:cstheme="majorHAnsi"/>
          <w:b/>
          <w:color w:val="auto"/>
          <w:szCs w:val="24"/>
        </w:rPr>
      </w:pPr>
      <w:r w:rsidRPr="005F7934">
        <w:rPr>
          <w:rFonts w:cstheme="majorHAnsi"/>
          <w:color w:val="auto"/>
          <w:sz w:val="24"/>
          <w:szCs w:val="24"/>
        </w:rPr>
        <w:t xml:space="preserve">Obrázek </w:t>
      </w:r>
      <w:r>
        <w:rPr>
          <w:rFonts w:cstheme="majorHAnsi"/>
          <w:color w:val="auto"/>
          <w:sz w:val="24"/>
          <w:szCs w:val="24"/>
        </w:rPr>
        <w:t>4</w:t>
      </w:r>
      <w:r w:rsidRPr="005F7934">
        <w:rPr>
          <w:rFonts w:cstheme="majorHAnsi"/>
          <w:color w:val="auto"/>
          <w:sz w:val="24"/>
          <w:szCs w:val="24"/>
        </w:rPr>
        <w:t xml:space="preserve">. </w:t>
      </w:r>
      <w:r w:rsidRPr="005F7934">
        <w:rPr>
          <w:rFonts w:cstheme="majorHAnsi"/>
          <w:color w:val="auto"/>
          <w:sz w:val="24"/>
          <w:szCs w:val="24"/>
        </w:rPr>
        <w:tab/>
      </w:r>
      <w:r w:rsidRPr="005F7934">
        <w:rPr>
          <w:rFonts w:cstheme="majorHAnsi"/>
          <w:b/>
          <w:color w:val="auto"/>
          <w:sz w:val="24"/>
          <w:szCs w:val="24"/>
        </w:rPr>
        <w:t>Koupelna s WC 1. buňka I.</w:t>
      </w:r>
    </w:p>
    <w:p w:rsidR="006E11B6" w:rsidRPr="005F7934" w:rsidRDefault="006E11B6" w:rsidP="006E11B6">
      <w:pPr>
        <w:rPr>
          <w:rFonts w:asciiTheme="majorHAnsi" w:hAnsiTheme="majorHAnsi" w:cstheme="majorHAnsi"/>
          <w:sz w:val="24"/>
          <w:szCs w:val="24"/>
        </w:rPr>
      </w:pPr>
      <w:r w:rsidRPr="00DA0421">
        <w:rPr>
          <w:rFonts w:asciiTheme="majorHAnsi" w:hAnsiTheme="majorHAnsi" w:cstheme="majorHAnsi"/>
          <w:b/>
          <w:noProof/>
          <w:sz w:val="24"/>
          <w:szCs w:val="24"/>
          <w:lang w:eastAsia="cs-CZ"/>
        </w:rPr>
        <w:drawing>
          <wp:inline distT="0" distB="0" distL="0" distR="0">
            <wp:extent cx="4244340" cy="2545080"/>
            <wp:effectExtent l="0" t="0" r="3810" b="7620"/>
            <wp:docPr id="19" name="Obrázek 19" descr="20150812_1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2_1110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4340" cy="2545080"/>
                    </a:xfrm>
                    <a:prstGeom prst="rect">
                      <a:avLst/>
                    </a:prstGeom>
                    <a:noFill/>
                    <a:ln>
                      <a:noFill/>
                    </a:ln>
                  </pic:spPr>
                </pic:pic>
              </a:graphicData>
            </a:graphic>
          </wp:inline>
        </w:drawing>
      </w:r>
    </w:p>
    <w:p w:rsidR="006E11B6" w:rsidRDefault="006E11B6" w:rsidP="006E11B6">
      <w:pPr>
        <w:jc w:val="both"/>
        <w:rPr>
          <w:rFonts w:asciiTheme="majorHAnsi" w:hAnsiTheme="majorHAnsi" w:cstheme="majorHAnsi"/>
          <w:b/>
          <w:sz w:val="24"/>
          <w:szCs w:val="24"/>
        </w:rPr>
      </w:pPr>
    </w:p>
    <w:p w:rsidR="005F7934" w:rsidRDefault="005F7934" w:rsidP="006E11B6">
      <w:pPr>
        <w:jc w:val="both"/>
        <w:rPr>
          <w:rFonts w:asciiTheme="majorHAnsi" w:hAnsiTheme="majorHAnsi" w:cstheme="majorHAnsi"/>
          <w:b/>
          <w:sz w:val="24"/>
          <w:szCs w:val="24"/>
        </w:rPr>
      </w:pPr>
    </w:p>
    <w:p w:rsidR="005F7934" w:rsidRDefault="005F7934" w:rsidP="006E11B6">
      <w:pPr>
        <w:jc w:val="both"/>
        <w:rPr>
          <w:rFonts w:asciiTheme="majorHAnsi" w:hAnsiTheme="majorHAnsi" w:cstheme="majorHAnsi"/>
          <w:b/>
          <w:sz w:val="24"/>
          <w:szCs w:val="24"/>
        </w:rPr>
      </w:pPr>
    </w:p>
    <w:p w:rsidR="005F7934" w:rsidRPr="00DA0421" w:rsidRDefault="005F7934" w:rsidP="006E11B6">
      <w:pPr>
        <w:jc w:val="both"/>
        <w:rPr>
          <w:rFonts w:asciiTheme="majorHAnsi" w:hAnsiTheme="majorHAnsi" w:cstheme="majorHAnsi"/>
          <w:b/>
          <w:sz w:val="24"/>
          <w:szCs w:val="24"/>
        </w:rPr>
      </w:pPr>
    </w:p>
    <w:p w:rsidR="006E11B6" w:rsidRPr="00DA0421" w:rsidRDefault="006E11B6" w:rsidP="006E11B6">
      <w:pPr>
        <w:jc w:val="both"/>
        <w:rPr>
          <w:rFonts w:asciiTheme="majorHAnsi" w:hAnsiTheme="majorHAnsi" w:cstheme="majorHAnsi"/>
          <w:sz w:val="24"/>
          <w:szCs w:val="24"/>
        </w:rPr>
      </w:pPr>
      <w:r>
        <w:rPr>
          <w:rFonts w:asciiTheme="majorHAnsi" w:hAnsiTheme="majorHAnsi" w:cstheme="majorHAnsi"/>
          <w:sz w:val="24"/>
          <w:szCs w:val="24"/>
        </w:rPr>
        <w:lastRenderedPageBreak/>
        <w:t>Obrázek</w:t>
      </w:r>
      <w:r w:rsidR="005F7934">
        <w:rPr>
          <w:rFonts w:asciiTheme="majorHAnsi" w:hAnsiTheme="majorHAnsi" w:cstheme="majorHAnsi"/>
          <w:sz w:val="24"/>
          <w:szCs w:val="24"/>
        </w:rPr>
        <w:t xml:space="preserve"> 5. </w:t>
      </w:r>
      <w:r w:rsidR="005F7934">
        <w:rPr>
          <w:rFonts w:asciiTheme="majorHAnsi" w:hAnsiTheme="majorHAnsi" w:cstheme="majorHAnsi"/>
          <w:sz w:val="24"/>
          <w:szCs w:val="24"/>
        </w:rPr>
        <w:tab/>
      </w:r>
      <w:r w:rsidRPr="00DA0421">
        <w:rPr>
          <w:rFonts w:asciiTheme="majorHAnsi" w:hAnsiTheme="majorHAnsi" w:cstheme="majorHAnsi"/>
          <w:b/>
          <w:sz w:val="24"/>
          <w:szCs w:val="24"/>
        </w:rPr>
        <w:t>Koupelna s WC 1. buňka II.</w:t>
      </w:r>
    </w:p>
    <w:p w:rsidR="006E11B6" w:rsidRPr="00DA0421" w:rsidRDefault="005F7934" w:rsidP="006E11B6">
      <w:pPr>
        <w:jc w:val="both"/>
        <w:rPr>
          <w:rFonts w:asciiTheme="majorHAnsi" w:hAnsiTheme="majorHAnsi" w:cstheme="majorHAnsi"/>
          <w:b/>
          <w:sz w:val="24"/>
          <w:szCs w:val="24"/>
        </w:rPr>
      </w:pPr>
      <w:r w:rsidRPr="00DA0421">
        <w:rPr>
          <w:rFonts w:asciiTheme="majorHAnsi" w:hAnsiTheme="majorHAnsi" w:cstheme="majorHAnsi"/>
          <w:b/>
          <w:noProof/>
          <w:sz w:val="24"/>
          <w:szCs w:val="24"/>
          <w:lang w:eastAsia="cs-CZ"/>
        </w:rPr>
        <w:drawing>
          <wp:inline distT="0" distB="0" distL="0" distR="0" wp14:anchorId="50D73FBE" wp14:editId="6CB54033">
            <wp:extent cx="4279265" cy="2566670"/>
            <wp:effectExtent l="0" t="0" r="6985" b="5080"/>
            <wp:docPr id="20" name="Obrázek 20" descr="20150812_1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812_111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9265" cy="2566670"/>
                    </a:xfrm>
                    <a:prstGeom prst="rect">
                      <a:avLst/>
                    </a:prstGeom>
                    <a:noFill/>
                    <a:ln>
                      <a:noFill/>
                    </a:ln>
                  </pic:spPr>
                </pic:pic>
              </a:graphicData>
            </a:graphic>
          </wp:inline>
        </w:drawing>
      </w:r>
    </w:p>
    <w:p w:rsidR="005F7934" w:rsidRPr="00DA0421" w:rsidRDefault="006E11B6" w:rsidP="006E11B6">
      <w:pPr>
        <w:jc w:val="both"/>
        <w:rPr>
          <w:rFonts w:asciiTheme="majorHAnsi" w:hAnsiTheme="majorHAnsi" w:cstheme="majorHAnsi"/>
          <w:b/>
          <w:sz w:val="24"/>
          <w:szCs w:val="24"/>
          <w:lang w:eastAsia="cs-CZ"/>
        </w:rPr>
      </w:pPr>
      <w:r>
        <w:rPr>
          <w:rFonts w:asciiTheme="majorHAnsi" w:hAnsiTheme="majorHAnsi" w:cstheme="majorHAnsi"/>
          <w:sz w:val="24"/>
          <w:szCs w:val="24"/>
        </w:rPr>
        <w:t xml:space="preserve">Obrázek </w:t>
      </w:r>
      <w:r w:rsidR="005F7934">
        <w:rPr>
          <w:rFonts w:asciiTheme="majorHAnsi" w:hAnsiTheme="majorHAnsi" w:cstheme="majorHAnsi"/>
          <w:sz w:val="24"/>
          <w:szCs w:val="24"/>
        </w:rPr>
        <w:t>6</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lang w:eastAsia="cs-CZ"/>
        </w:rPr>
        <w:t>Koupelna + WC 2. buňka I.</w:t>
      </w:r>
    </w:p>
    <w:p w:rsidR="006E11B6" w:rsidRPr="00DA0421" w:rsidRDefault="006E11B6" w:rsidP="006E11B6">
      <w:pPr>
        <w:jc w:val="both"/>
        <w:rPr>
          <w:rFonts w:asciiTheme="majorHAnsi" w:hAnsiTheme="majorHAnsi" w:cstheme="majorHAnsi"/>
          <w:sz w:val="24"/>
          <w:szCs w:val="24"/>
        </w:rPr>
      </w:pPr>
      <w:r w:rsidRPr="00DA0421">
        <w:rPr>
          <w:rFonts w:asciiTheme="majorHAnsi" w:hAnsiTheme="majorHAnsi" w:cstheme="majorHAnsi"/>
          <w:b/>
          <w:noProof/>
          <w:sz w:val="24"/>
          <w:szCs w:val="24"/>
          <w:lang w:eastAsia="cs-CZ"/>
        </w:rPr>
        <w:drawing>
          <wp:inline distT="0" distB="0" distL="0" distR="0">
            <wp:extent cx="2032635" cy="3613785"/>
            <wp:effectExtent l="0" t="0" r="5715" b="5715"/>
            <wp:docPr id="21" name="Obrázek 21" descr="20150812_1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812_110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635" cy="3613785"/>
                    </a:xfrm>
                    <a:prstGeom prst="rect">
                      <a:avLst/>
                    </a:prstGeom>
                    <a:noFill/>
                    <a:ln>
                      <a:noFill/>
                    </a:ln>
                  </pic:spPr>
                </pic:pic>
              </a:graphicData>
            </a:graphic>
          </wp:inline>
        </w:drawing>
      </w:r>
    </w:p>
    <w:p w:rsidR="005F7934" w:rsidRDefault="005F7934" w:rsidP="006E11B6">
      <w:pPr>
        <w:jc w:val="both"/>
        <w:rPr>
          <w:rFonts w:asciiTheme="majorHAnsi" w:hAnsiTheme="majorHAnsi" w:cstheme="majorHAnsi"/>
          <w:sz w:val="24"/>
          <w:szCs w:val="24"/>
        </w:rPr>
      </w:pPr>
    </w:p>
    <w:p w:rsidR="005F7934" w:rsidRDefault="005F7934" w:rsidP="006E11B6">
      <w:pPr>
        <w:jc w:val="both"/>
        <w:rPr>
          <w:rFonts w:asciiTheme="majorHAnsi" w:hAnsiTheme="majorHAnsi" w:cstheme="majorHAnsi"/>
          <w:sz w:val="24"/>
          <w:szCs w:val="24"/>
        </w:rPr>
      </w:pPr>
    </w:p>
    <w:p w:rsidR="005F7934" w:rsidRDefault="005F7934" w:rsidP="006E11B6">
      <w:pPr>
        <w:jc w:val="both"/>
        <w:rPr>
          <w:rFonts w:asciiTheme="majorHAnsi" w:hAnsiTheme="majorHAnsi" w:cstheme="majorHAnsi"/>
          <w:sz w:val="24"/>
          <w:szCs w:val="24"/>
        </w:rPr>
      </w:pPr>
    </w:p>
    <w:p w:rsidR="005F7934" w:rsidRDefault="005F7934" w:rsidP="006E11B6">
      <w:pPr>
        <w:jc w:val="both"/>
        <w:rPr>
          <w:rFonts w:asciiTheme="majorHAnsi" w:hAnsiTheme="majorHAnsi" w:cstheme="majorHAnsi"/>
          <w:sz w:val="24"/>
          <w:szCs w:val="24"/>
        </w:rPr>
      </w:pPr>
    </w:p>
    <w:p w:rsidR="006E11B6" w:rsidRPr="00DA0421" w:rsidRDefault="006E11B6" w:rsidP="006E11B6">
      <w:pPr>
        <w:jc w:val="both"/>
        <w:rPr>
          <w:rFonts w:asciiTheme="majorHAnsi" w:hAnsiTheme="majorHAnsi" w:cstheme="majorHAnsi"/>
          <w:b/>
          <w:sz w:val="24"/>
          <w:szCs w:val="24"/>
          <w:lang w:eastAsia="cs-CZ"/>
        </w:rPr>
      </w:pPr>
      <w:r>
        <w:rPr>
          <w:rFonts w:asciiTheme="majorHAnsi" w:hAnsiTheme="majorHAnsi" w:cstheme="majorHAnsi"/>
          <w:sz w:val="24"/>
          <w:szCs w:val="24"/>
        </w:rPr>
        <w:lastRenderedPageBreak/>
        <w:t xml:space="preserve">Obrázek </w:t>
      </w:r>
      <w:r w:rsidR="005F7934">
        <w:rPr>
          <w:rFonts w:asciiTheme="majorHAnsi" w:hAnsiTheme="majorHAnsi" w:cstheme="majorHAnsi"/>
          <w:sz w:val="24"/>
          <w:szCs w:val="24"/>
        </w:rPr>
        <w:t>7</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lang w:eastAsia="cs-CZ"/>
        </w:rPr>
        <w:t>Koupelna + WC 2. buňka II.</w:t>
      </w:r>
    </w:p>
    <w:p w:rsidR="006E11B6" w:rsidRPr="00DA0421" w:rsidRDefault="006E11B6" w:rsidP="006E11B6">
      <w:pPr>
        <w:jc w:val="both"/>
        <w:rPr>
          <w:rFonts w:asciiTheme="majorHAnsi" w:hAnsiTheme="majorHAnsi" w:cstheme="majorHAnsi"/>
          <w:b/>
          <w:sz w:val="24"/>
          <w:szCs w:val="24"/>
        </w:rPr>
      </w:pPr>
      <w:r w:rsidRPr="00DA0421">
        <w:rPr>
          <w:rFonts w:asciiTheme="majorHAnsi" w:hAnsiTheme="majorHAnsi" w:cstheme="majorHAnsi"/>
          <w:b/>
          <w:noProof/>
          <w:sz w:val="24"/>
          <w:szCs w:val="24"/>
          <w:lang w:eastAsia="cs-CZ"/>
        </w:rPr>
        <w:drawing>
          <wp:inline distT="0" distB="0" distL="0" distR="0" wp14:anchorId="3418F426" wp14:editId="3C5B1CB0">
            <wp:extent cx="2026891" cy="3600000"/>
            <wp:effectExtent l="0" t="0" r="0" b="635"/>
            <wp:docPr id="22" name="Obrázek 22" descr="20150812_1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2_1109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891" cy="3600000"/>
                    </a:xfrm>
                    <a:prstGeom prst="rect">
                      <a:avLst/>
                    </a:prstGeom>
                    <a:noFill/>
                    <a:ln>
                      <a:noFill/>
                    </a:ln>
                  </pic:spPr>
                </pic:pic>
              </a:graphicData>
            </a:graphic>
          </wp:inline>
        </w:drawing>
      </w:r>
    </w:p>
    <w:p w:rsidR="006E11B6" w:rsidRPr="00DA0421" w:rsidRDefault="006E11B6" w:rsidP="006E11B6">
      <w:pPr>
        <w:jc w:val="both"/>
        <w:rPr>
          <w:rFonts w:asciiTheme="majorHAnsi" w:hAnsiTheme="majorHAnsi" w:cstheme="majorHAnsi"/>
          <w:b/>
          <w:sz w:val="24"/>
          <w:szCs w:val="24"/>
          <w:lang w:eastAsia="cs-CZ"/>
        </w:rPr>
      </w:pPr>
      <w:r>
        <w:rPr>
          <w:rFonts w:asciiTheme="majorHAnsi" w:hAnsiTheme="majorHAnsi" w:cstheme="majorHAnsi"/>
          <w:sz w:val="24"/>
          <w:szCs w:val="24"/>
        </w:rPr>
        <w:t xml:space="preserve">Obrázek </w:t>
      </w:r>
      <w:r w:rsidR="005F7934">
        <w:rPr>
          <w:rFonts w:asciiTheme="majorHAnsi" w:hAnsiTheme="majorHAnsi" w:cstheme="majorHAnsi"/>
          <w:sz w:val="24"/>
          <w:szCs w:val="24"/>
        </w:rPr>
        <w:t>8</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lang w:eastAsia="cs-CZ"/>
        </w:rPr>
        <w:t>Koupelna + WC 2. buňka III.</w:t>
      </w:r>
    </w:p>
    <w:p w:rsidR="006E11B6" w:rsidRPr="00DA0421" w:rsidRDefault="006E11B6" w:rsidP="006E11B6">
      <w:pPr>
        <w:jc w:val="both"/>
        <w:rPr>
          <w:rFonts w:asciiTheme="majorHAnsi" w:hAnsiTheme="majorHAnsi" w:cstheme="majorHAnsi"/>
          <w:b/>
          <w:sz w:val="24"/>
          <w:szCs w:val="24"/>
        </w:rPr>
      </w:pPr>
      <w:r w:rsidRPr="00DA0421">
        <w:rPr>
          <w:rFonts w:asciiTheme="majorHAnsi" w:hAnsiTheme="majorHAnsi" w:cstheme="majorHAnsi"/>
          <w:b/>
          <w:noProof/>
          <w:sz w:val="24"/>
          <w:szCs w:val="24"/>
          <w:lang w:eastAsia="cs-CZ"/>
        </w:rPr>
        <w:drawing>
          <wp:anchor distT="0" distB="0" distL="114300" distR="114300" simplePos="0" relativeHeight="251670528" behindDoc="1" locked="0" layoutInCell="1" allowOverlap="1" wp14:anchorId="0E685F56" wp14:editId="551E2016">
            <wp:simplePos x="0" y="0"/>
            <wp:positionH relativeFrom="margin">
              <wp:align>left</wp:align>
            </wp:positionH>
            <wp:positionV relativeFrom="paragraph">
              <wp:posOffset>99060</wp:posOffset>
            </wp:positionV>
            <wp:extent cx="2025291" cy="3600000"/>
            <wp:effectExtent l="0" t="0" r="0" b="635"/>
            <wp:wrapTopAndBottom/>
            <wp:docPr id="23" name="Obrázek 23" descr="20150812_11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2_1101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5291"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B6" w:rsidRPr="00DA0421" w:rsidRDefault="006E11B6" w:rsidP="006E11B6">
      <w:pPr>
        <w:jc w:val="both"/>
        <w:rPr>
          <w:rFonts w:asciiTheme="majorHAnsi" w:hAnsiTheme="majorHAnsi" w:cstheme="majorHAnsi"/>
          <w:b/>
          <w:sz w:val="24"/>
          <w:szCs w:val="24"/>
          <w:lang w:eastAsia="cs-CZ"/>
        </w:rPr>
      </w:pPr>
      <w:r>
        <w:rPr>
          <w:rFonts w:asciiTheme="majorHAnsi" w:hAnsiTheme="majorHAnsi" w:cstheme="majorHAnsi"/>
          <w:sz w:val="24"/>
          <w:szCs w:val="24"/>
        </w:rPr>
        <w:lastRenderedPageBreak/>
        <w:t xml:space="preserve">Obrázek </w:t>
      </w:r>
      <w:r w:rsidR="005F7934">
        <w:rPr>
          <w:rFonts w:asciiTheme="majorHAnsi" w:hAnsiTheme="majorHAnsi" w:cstheme="majorHAnsi"/>
          <w:sz w:val="24"/>
          <w:szCs w:val="24"/>
        </w:rPr>
        <w:t>9</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lang w:eastAsia="cs-CZ"/>
        </w:rPr>
        <w:t xml:space="preserve">Kuchyň – pohled </w:t>
      </w:r>
      <w:r w:rsidR="005F7934">
        <w:rPr>
          <w:rFonts w:asciiTheme="majorHAnsi" w:hAnsiTheme="majorHAnsi" w:cstheme="majorHAnsi"/>
          <w:b/>
          <w:sz w:val="24"/>
          <w:szCs w:val="24"/>
          <w:lang w:eastAsia="cs-CZ"/>
        </w:rPr>
        <w:t>na kuchyňskou linku</w:t>
      </w:r>
    </w:p>
    <w:p w:rsidR="006E11B6" w:rsidRPr="00DA0421" w:rsidRDefault="006E11B6" w:rsidP="006E11B6">
      <w:pPr>
        <w:jc w:val="both"/>
        <w:rPr>
          <w:rFonts w:asciiTheme="majorHAnsi" w:hAnsiTheme="majorHAnsi" w:cstheme="majorHAnsi"/>
          <w:b/>
          <w:sz w:val="24"/>
          <w:szCs w:val="24"/>
        </w:rPr>
      </w:pPr>
      <w:r w:rsidRPr="00DA0421">
        <w:rPr>
          <w:rFonts w:asciiTheme="majorHAnsi" w:hAnsiTheme="majorHAnsi" w:cstheme="majorHAnsi"/>
          <w:b/>
          <w:noProof/>
          <w:sz w:val="24"/>
          <w:szCs w:val="24"/>
          <w:lang w:eastAsia="cs-CZ"/>
        </w:rPr>
        <w:drawing>
          <wp:inline distT="0" distB="0" distL="0" distR="0" wp14:anchorId="7FC1CE85" wp14:editId="491CBF0C">
            <wp:extent cx="3600000" cy="2186005"/>
            <wp:effectExtent l="0" t="0" r="635" b="5080"/>
            <wp:docPr id="24" name="Obrázek 24" descr="20150812_1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812_112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186005"/>
                    </a:xfrm>
                    <a:prstGeom prst="rect">
                      <a:avLst/>
                    </a:prstGeom>
                    <a:noFill/>
                    <a:ln>
                      <a:noFill/>
                    </a:ln>
                  </pic:spPr>
                </pic:pic>
              </a:graphicData>
            </a:graphic>
          </wp:inline>
        </w:drawing>
      </w:r>
    </w:p>
    <w:p w:rsidR="006E11B6" w:rsidRPr="00DA0421" w:rsidRDefault="006E11B6" w:rsidP="006E11B6">
      <w:pPr>
        <w:jc w:val="both"/>
        <w:rPr>
          <w:rFonts w:asciiTheme="majorHAnsi" w:hAnsiTheme="majorHAnsi" w:cstheme="majorHAnsi"/>
          <w:b/>
          <w:sz w:val="24"/>
          <w:szCs w:val="24"/>
          <w:lang w:eastAsia="cs-CZ"/>
        </w:rPr>
      </w:pPr>
      <w:r>
        <w:rPr>
          <w:rFonts w:asciiTheme="majorHAnsi" w:hAnsiTheme="majorHAnsi" w:cstheme="majorHAnsi"/>
          <w:sz w:val="24"/>
          <w:szCs w:val="24"/>
        </w:rPr>
        <w:t xml:space="preserve">Obrázek </w:t>
      </w:r>
      <w:r w:rsidR="005F7934">
        <w:rPr>
          <w:rFonts w:asciiTheme="majorHAnsi" w:hAnsiTheme="majorHAnsi" w:cstheme="majorHAnsi"/>
          <w:sz w:val="24"/>
          <w:szCs w:val="24"/>
        </w:rPr>
        <w:t>10</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00D525C3">
        <w:rPr>
          <w:rFonts w:asciiTheme="majorHAnsi" w:hAnsiTheme="majorHAnsi" w:cstheme="majorHAnsi"/>
          <w:b/>
          <w:sz w:val="24"/>
          <w:szCs w:val="24"/>
        </w:rPr>
        <w:t>Kuchyň –</w:t>
      </w:r>
      <w:r w:rsidRPr="00DA0421">
        <w:rPr>
          <w:rFonts w:asciiTheme="majorHAnsi" w:hAnsiTheme="majorHAnsi" w:cstheme="majorHAnsi"/>
          <w:b/>
          <w:sz w:val="24"/>
          <w:szCs w:val="24"/>
        </w:rPr>
        <w:t xml:space="preserve"> </w:t>
      </w:r>
      <w:r w:rsidRPr="00DA0421">
        <w:rPr>
          <w:rFonts w:asciiTheme="majorHAnsi" w:hAnsiTheme="majorHAnsi" w:cstheme="majorHAnsi"/>
          <w:b/>
          <w:sz w:val="24"/>
          <w:szCs w:val="24"/>
          <w:lang w:eastAsia="cs-CZ"/>
        </w:rPr>
        <w:t>Digestoř a varná deska</w:t>
      </w:r>
    </w:p>
    <w:p w:rsidR="006E11B6" w:rsidRDefault="006E11B6" w:rsidP="006E11B6">
      <w:pPr>
        <w:jc w:val="both"/>
        <w:rPr>
          <w:rFonts w:asciiTheme="majorHAnsi" w:hAnsiTheme="majorHAnsi" w:cstheme="majorHAnsi"/>
          <w:b/>
          <w:sz w:val="24"/>
          <w:szCs w:val="24"/>
        </w:rPr>
      </w:pPr>
      <w:r w:rsidRPr="00DA0421">
        <w:rPr>
          <w:rFonts w:asciiTheme="majorHAnsi" w:hAnsiTheme="majorHAnsi" w:cstheme="majorHAnsi"/>
          <w:b/>
          <w:noProof/>
          <w:sz w:val="24"/>
          <w:szCs w:val="24"/>
          <w:lang w:eastAsia="cs-CZ"/>
        </w:rPr>
        <w:drawing>
          <wp:inline distT="0" distB="0" distL="0" distR="0">
            <wp:extent cx="2025416" cy="3600000"/>
            <wp:effectExtent l="0" t="0" r="0" b="635"/>
            <wp:docPr id="25" name="Obrázek 25" descr="20150812_1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812_1121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5416" cy="3600000"/>
                    </a:xfrm>
                    <a:prstGeom prst="rect">
                      <a:avLst/>
                    </a:prstGeom>
                    <a:noFill/>
                    <a:ln>
                      <a:noFill/>
                    </a:ln>
                  </pic:spPr>
                </pic:pic>
              </a:graphicData>
            </a:graphic>
          </wp:inline>
        </w:drawing>
      </w:r>
    </w:p>
    <w:p w:rsidR="005F7934" w:rsidRDefault="005F7934" w:rsidP="006E11B6">
      <w:pPr>
        <w:jc w:val="both"/>
        <w:rPr>
          <w:rFonts w:asciiTheme="majorHAnsi" w:hAnsiTheme="majorHAnsi" w:cstheme="majorHAnsi"/>
          <w:b/>
          <w:sz w:val="24"/>
          <w:szCs w:val="24"/>
        </w:rPr>
      </w:pPr>
    </w:p>
    <w:p w:rsidR="005F7934" w:rsidRDefault="005F7934" w:rsidP="006E11B6">
      <w:pPr>
        <w:jc w:val="both"/>
        <w:rPr>
          <w:rFonts w:asciiTheme="majorHAnsi" w:hAnsiTheme="majorHAnsi" w:cstheme="majorHAnsi"/>
          <w:b/>
          <w:sz w:val="24"/>
          <w:szCs w:val="24"/>
        </w:rPr>
      </w:pPr>
    </w:p>
    <w:p w:rsidR="005F7934" w:rsidRDefault="005F7934" w:rsidP="006E11B6">
      <w:pPr>
        <w:jc w:val="both"/>
        <w:rPr>
          <w:rFonts w:asciiTheme="majorHAnsi" w:hAnsiTheme="majorHAnsi" w:cstheme="majorHAnsi"/>
          <w:b/>
          <w:sz w:val="24"/>
          <w:szCs w:val="24"/>
        </w:rPr>
      </w:pPr>
    </w:p>
    <w:p w:rsidR="005F7934" w:rsidRDefault="005F7934" w:rsidP="006E11B6">
      <w:pPr>
        <w:jc w:val="both"/>
        <w:rPr>
          <w:rFonts w:asciiTheme="majorHAnsi" w:hAnsiTheme="majorHAnsi" w:cstheme="majorHAnsi"/>
          <w:b/>
          <w:sz w:val="24"/>
          <w:szCs w:val="24"/>
        </w:rPr>
      </w:pPr>
    </w:p>
    <w:p w:rsidR="005F7934" w:rsidRPr="00DA0421" w:rsidRDefault="005F7934" w:rsidP="006E11B6">
      <w:pPr>
        <w:jc w:val="both"/>
        <w:rPr>
          <w:rFonts w:asciiTheme="majorHAnsi" w:hAnsiTheme="majorHAnsi" w:cstheme="majorHAnsi"/>
          <w:b/>
          <w:sz w:val="24"/>
          <w:szCs w:val="24"/>
        </w:rPr>
      </w:pPr>
    </w:p>
    <w:p w:rsidR="006E11B6" w:rsidRPr="00DA0421" w:rsidRDefault="006E11B6" w:rsidP="006E11B6">
      <w:pPr>
        <w:rPr>
          <w:rFonts w:asciiTheme="majorHAnsi" w:hAnsiTheme="majorHAnsi" w:cstheme="majorHAnsi"/>
          <w:b/>
          <w:sz w:val="24"/>
          <w:szCs w:val="24"/>
          <w:lang w:eastAsia="cs-CZ"/>
        </w:rPr>
      </w:pPr>
      <w:r>
        <w:rPr>
          <w:rFonts w:asciiTheme="majorHAnsi" w:hAnsiTheme="majorHAnsi" w:cstheme="majorHAnsi"/>
          <w:sz w:val="24"/>
          <w:szCs w:val="24"/>
        </w:rPr>
        <w:lastRenderedPageBreak/>
        <w:t xml:space="preserve">Obrázek </w:t>
      </w:r>
      <w:r w:rsidR="005F7934">
        <w:rPr>
          <w:rFonts w:asciiTheme="majorHAnsi" w:hAnsiTheme="majorHAnsi" w:cstheme="majorHAnsi"/>
          <w:sz w:val="24"/>
          <w:szCs w:val="24"/>
        </w:rPr>
        <w:t>11</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00D525C3">
        <w:rPr>
          <w:rFonts w:asciiTheme="majorHAnsi" w:hAnsiTheme="majorHAnsi" w:cstheme="majorHAnsi"/>
          <w:b/>
          <w:sz w:val="24"/>
          <w:szCs w:val="24"/>
        </w:rPr>
        <w:t>Kuchyň –</w:t>
      </w:r>
      <w:r w:rsidRPr="00DA0421">
        <w:rPr>
          <w:rFonts w:asciiTheme="majorHAnsi" w:hAnsiTheme="majorHAnsi" w:cstheme="majorHAnsi"/>
          <w:b/>
          <w:sz w:val="24"/>
          <w:szCs w:val="24"/>
        </w:rPr>
        <w:t xml:space="preserve"> </w:t>
      </w:r>
      <w:r w:rsidRPr="00DA0421">
        <w:rPr>
          <w:rFonts w:asciiTheme="majorHAnsi" w:hAnsiTheme="majorHAnsi" w:cstheme="majorHAnsi"/>
          <w:b/>
          <w:sz w:val="24"/>
          <w:szCs w:val="24"/>
          <w:lang w:eastAsia="cs-CZ"/>
        </w:rPr>
        <w:t>Boční pohled od stolu</w:t>
      </w:r>
    </w:p>
    <w:p w:rsidR="006E11B6" w:rsidRPr="00DA0421" w:rsidRDefault="006E11B6" w:rsidP="006E11B6">
      <w:pPr>
        <w:rPr>
          <w:rFonts w:asciiTheme="majorHAnsi" w:hAnsiTheme="majorHAnsi" w:cstheme="majorHAnsi"/>
          <w:b/>
          <w:sz w:val="24"/>
          <w:szCs w:val="24"/>
          <w:lang w:eastAsia="cs-CZ"/>
        </w:rPr>
      </w:pPr>
      <w:r w:rsidRPr="00DA0421">
        <w:rPr>
          <w:rFonts w:asciiTheme="majorHAnsi" w:hAnsiTheme="majorHAnsi" w:cstheme="majorHAnsi"/>
          <w:b/>
          <w:noProof/>
          <w:sz w:val="24"/>
          <w:szCs w:val="24"/>
          <w:lang w:eastAsia="cs-CZ"/>
        </w:rPr>
        <w:drawing>
          <wp:inline distT="0" distB="0" distL="0" distR="0">
            <wp:extent cx="3600000" cy="2287782"/>
            <wp:effectExtent l="0" t="0" r="635" b="0"/>
            <wp:docPr id="26" name="Obrázek 26" descr="20150812_1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812_1120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287782"/>
                    </a:xfrm>
                    <a:prstGeom prst="rect">
                      <a:avLst/>
                    </a:prstGeom>
                    <a:noFill/>
                    <a:ln>
                      <a:noFill/>
                    </a:ln>
                  </pic:spPr>
                </pic:pic>
              </a:graphicData>
            </a:graphic>
          </wp:inline>
        </w:drawing>
      </w:r>
    </w:p>
    <w:p w:rsidR="006E11B6" w:rsidRPr="00DA0421" w:rsidRDefault="006E11B6" w:rsidP="006E11B6">
      <w:pPr>
        <w:spacing w:after="0"/>
        <w:jc w:val="both"/>
        <w:rPr>
          <w:rFonts w:asciiTheme="majorHAnsi" w:hAnsiTheme="majorHAnsi" w:cstheme="majorHAnsi"/>
          <w:sz w:val="24"/>
          <w:szCs w:val="24"/>
        </w:rPr>
      </w:pPr>
    </w:p>
    <w:p w:rsidR="006E11B6" w:rsidRPr="00DA0421" w:rsidRDefault="006E11B6" w:rsidP="006E11B6">
      <w:pPr>
        <w:spacing w:after="0"/>
        <w:jc w:val="both"/>
        <w:rPr>
          <w:rFonts w:asciiTheme="majorHAnsi" w:hAnsiTheme="majorHAnsi" w:cstheme="majorHAnsi"/>
          <w:sz w:val="24"/>
          <w:szCs w:val="24"/>
        </w:rPr>
      </w:pPr>
    </w:p>
    <w:p w:rsidR="006E11B6" w:rsidRPr="00DA0421" w:rsidRDefault="006E11B6" w:rsidP="006E11B6">
      <w:pPr>
        <w:rPr>
          <w:rFonts w:asciiTheme="majorHAnsi" w:hAnsiTheme="majorHAnsi" w:cstheme="majorHAnsi"/>
          <w:b/>
          <w:sz w:val="24"/>
          <w:szCs w:val="24"/>
          <w:lang w:eastAsia="cs-CZ"/>
        </w:rPr>
      </w:pPr>
      <w:r w:rsidRPr="00DA0421">
        <w:rPr>
          <w:rFonts w:asciiTheme="majorHAnsi" w:hAnsiTheme="majorHAnsi" w:cstheme="majorHAnsi"/>
          <w:b/>
          <w:noProof/>
          <w:sz w:val="24"/>
          <w:szCs w:val="24"/>
          <w:lang w:eastAsia="cs-CZ"/>
        </w:rPr>
        <w:drawing>
          <wp:anchor distT="0" distB="0" distL="114300" distR="114300" simplePos="0" relativeHeight="251673600" behindDoc="1" locked="0" layoutInCell="1" allowOverlap="1" wp14:anchorId="495AFE7C" wp14:editId="42E1A42D">
            <wp:simplePos x="0" y="0"/>
            <wp:positionH relativeFrom="margin">
              <wp:align>left</wp:align>
            </wp:positionH>
            <wp:positionV relativeFrom="paragraph">
              <wp:posOffset>272415</wp:posOffset>
            </wp:positionV>
            <wp:extent cx="3600000" cy="2026840"/>
            <wp:effectExtent l="0" t="0" r="635" b="0"/>
            <wp:wrapTopAndBottom/>
            <wp:docPr id="27" name="Obrázek 27" descr="20150812_11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812_1122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02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rPr>
        <w:t xml:space="preserve">Obrázek </w:t>
      </w:r>
      <w:r w:rsidR="005F7934">
        <w:rPr>
          <w:rFonts w:asciiTheme="majorHAnsi" w:hAnsiTheme="majorHAnsi" w:cstheme="majorHAnsi"/>
          <w:sz w:val="24"/>
          <w:szCs w:val="24"/>
        </w:rPr>
        <w:t>12</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rPr>
        <w:t xml:space="preserve">Kuchyň – </w:t>
      </w:r>
      <w:r w:rsidRPr="00DA0421">
        <w:rPr>
          <w:rFonts w:asciiTheme="majorHAnsi" w:hAnsiTheme="majorHAnsi" w:cstheme="majorHAnsi"/>
          <w:b/>
          <w:sz w:val="24"/>
          <w:szCs w:val="24"/>
          <w:lang w:eastAsia="cs-CZ"/>
        </w:rPr>
        <w:t>jídelní stůl</w:t>
      </w:r>
    </w:p>
    <w:p w:rsidR="006E11B6" w:rsidRPr="00DA0421" w:rsidRDefault="006E11B6" w:rsidP="006E11B6">
      <w:pPr>
        <w:spacing w:after="0"/>
        <w:jc w:val="both"/>
        <w:rPr>
          <w:rFonts w:asciiTheme="majorHAnsi" w:hAnsiTheme="majorHAnsi" w:cstheme="majorHAnsi"/>
          <w:sz w:val="24"/>
          <w:szCs w:val="24"/>
        </w:rPr>
      </w:pPr>
    </w:p>
    <w:p w:rsidR="006E11B6" w:rsidRPr="00DA0421" w:rsidRDefault="006E11B6" w:rsidP="006E11B6">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w:t>
      </w:r>
      <w:r w:rsidR="005F7934">
        <w:rPr>
          <w:rFonts w:asciiTheme="majorHAnsi" w:hAnsiTheme="majorHAnsi" w:cstheme="majorHAnsi"/>
          <w:sz w:val="24"/>
          <w:szCs w:val="24"/>
        </w:rPr>
        <w:t>13</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rPr>
        <w:t>Pokoj – pohled na postel</w:t>
      </w:r>
    </w:p>
    <w:p w:rsidR="006E11B6" w:rsidRDefault="006E11B6" w:rsidP="006E11B6">
      <w:pPr>
        <w:spacing w:after="0"/>
        <w:jc w:val="both"/>
        <w:rPr>
          <w:rFonts w:asciiTheme="majorHAnsi" w:hAnsiTheme="majorHAnsi" w:cstheme="majorHAnsi"/>
          <w:sz w:val="24"/>
          <w:szCs w:val="24"/>
        </w:rPr>
      </w:pPr>
      <w:r w:rsidRPr="00DA0421">
        <w:rPr>
          <w:rFonts w:asciiTheme="majorHAnsi" w:hAnsiTheme="majorHAnsi" w:cstheme="majorHAnsi"/>
          <w:noProof/>
          <w:sz w:val="24"/>
          <w:szCs w:val="24"/>
          <w:lang w:eastAsia="cs-CZ"/>
        </w:rPr>
        <w:drawing>
          <wp:inline distT="0" distB="0" distL="0" distR="0">
            <wp:extent cx="3600000" cy="2019974"/>
            <wp:effectExtent l="0" t="0" r="635" b="0"/>
            <wp:docPr id="28" name="Obrázek 28" descr="20150812_1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812_1040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2019974"/>
                    </a:xfrm>
                    <a:prstGeom prst="rect">
                      <a:avLst/>
                    </a:prstGeom>
                    <a:noFill/>
                    <a:ln>
                      <a:noFill/>
                    </a:ln>
                  </pic:spPr>
                </pic:pic>
              </a:graphicData>
            </a:graphic>
          </wp:inline>
        </w:drawing>
      </w:r>
    </w:p>
    <w:p w:rsidR="00251646" w:rsidRDefault="00251646" w:rsidP="006E11B6">
      <w:pPr>
        <w:spacing w:after="0"/>
        <w:jc w:val="both"/>
        <w:rPr>
          <w:rFonts w:asciiTheme="majorHAnsi" w:hAnsiTheme="majorHAnsi" w:cstheme="majorHAnsi"/>
          <w:sz w:val="24"/>
          <w:szCs w:val="24"/>
        </w:rPr>
      </w:pPr>
    </w:p>
    <w:p w:rsidR="00251646" w:rsidRPr="00DA0421" w:rsidRDefault="00251646" w:rsidP="006E11B6">
      <w:pPr>
        <w:spacing w:after="0"/>
        <w:jc w:val="both"/>
        <w:rPr>
          <w:rFonts w:asciiTheme="majorHAnsi" w:hAnsiTheme="majorHAnsi" w:cstheme="majorHAnsi"/>
          <w:sz w:val="24"/>
          <w:szCs w:val="24"/>
        </w:rPr>
      </w:pPr>
    </w:p>
    <w:p w:rsidR="006E11B6" w:rsidRPr="00DA0421" w:rsidRDefault="006E11B6" w:rsidP="006E11B6">
      <w:pPr>
        <w:rPr>
          <w:rFonts w:asciiTheme="majorHAnsi" w:hAnsiTheme="majorHAnsi" w:cstheme="majorHAnsi"/>
          <w:sz w:val="24"/>
          <w:szCs w:val="24"/>
        </w:rPr>
      </w:pPr>
      <w:r>
        <w:rPr>
          <w:rFonts w:asciiTheme="majorHAnsi" w:hAnsiTheme="majorHAnsi" w:cstheme="majorHAnsi"/>
          <w:sz w:val="24"/>
          <w:szCs w:val="24"/>
        </w:rPr>
        <w:lastRenderedPageBreak/>
        <w:t xml:space="preserve">Obrázek </w:t>
      </w:r>
      <w:r w:rsidR="00251646">
        <w:rPr>
          <w:rFonts w:asciiTheme="majorHAnsi" w:hAnsiTheme="majorHAnsi" w:cstheme="majorHAnsi"/>
          <w:sz w:val="24"/>
          <w:szCs w:val="24"/>
        </w:rPr>
        <w:t>14</w:t>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r w:rsidRPr="00DA0421">
        <w:rPr>
          <w:rFonts w:asciiTheme="majorHAnsi" w:hAnsiTheme="majorHAnsi" w:cstheme="majorHAnsi"/>
          <w:b/>
          <w:sz w:val="24"/>
          <w:szCs w:val="24"/>
        </w:rPr>
        <w:t>Pokoj – pohled na stůl</w:t>
      </w:r>
    </w:p>
    <w:p w:rsidR="00251646" w:rsidRDefault="006E11B6" w:rsidP="006E11B6">
      <w:pPr>
        <w:rPr>
          <w:rFonts w:asciiTheme="majorHAnsi" w:hAnsiTheme="majorHAnsi" w:cstheme="majorHAnsi"/>
          <w:sz w:val="24"/>
          <w:szCs w:val="24"/>
        </w:rPr>
      </w:pPr>
      <w:r w:rsidRPr="00DA0421">
        <w:rPr>
          <w:rFonts w:asciiTheme="majorHAnsi" w:hAnsiTheme="majorHAnsi" w:cstheme="majorHAnsi"/>
          <w:noProof/>
          <w:sz w:val="24"/>
          <w:szCs w:val="24"/>
          <w:lang w:eastAsia="cs-CZ"/>
        </w:rPr>
        <w:drawing>
          <wp:inline distT="0" distB="0" distL="0" distR="0">
            <wp:extent cx="3600000" cy="2021698"/>
            <wp:effectExtent l="0" t="0" r="635" b="0"/>
            <wp:docPr id="29" name="Obrázek 29" descr="20150812_1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812_1043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021698"/>
                    </a:xfrm>
                    <a:prstGeom prst="rect">
                      <a:avLst/>
                    </a:prstGeom>
                    <a:noFill/>
                    <a:ln>
                      <a:noFill/>
                    </a:ln>
                  </pic:spPr>
                </pic:pic>
              </a:graphicData>
            </a:graphic>
          </wp:inline>
        </w:drawing>
      </w:r>
      <w:r w:rsidRPr="00DA0421">
        <w:rPr>
          <w:rFonts w:asciiTheme="majorHAnsi" w:hAnsiTheme="majorHAnsi" w:cstheme="majorHAnsi"/>
          <w:sz w:val="24"/>
          <w:szCs w:val="24"/>
        </w:rPr>
        <w:t xml:space="preserve">. </w:t>
      </w:r>
      <w:r w:rsidRPr="00DA0421">
        <w:rPr>
          <w:rFonts w:asciiTheme="majorHAnsi" w:hAnsiTheme="majorHAnsi" w:cstheme="majorHAnsi"/>
          <w:sz w:val="24"/>
          <w:szCs w:val="24"/>
        </w:rPr>
        <w:tab/>
      </w:r>
    </w:p>
    <w:p w:rsidR="00251646" w:rsidRPr="00251646" w:rsidRDefault="00251646" w:rsidP="006E11B6">
      <w:pPr>
        <w:rPr>
          <w:rFonts w:asciiTheme="majorHAnsi" w:hAnsiTheme="majorHAnsi" w:cstheme="majorHAnsi"/>
          <w:b/>
          <w:sz w:val="24"/>
          <w:szCs w:val="24"/>
        </w:rPr>
      </w:pPr>
      <w:r>
        <w:rPr>
          <w:rFonts w:asciiTheme="majorHAnsi" w:hAnsiTheme="majorHAnsi" w:cstheme="majorHAnsi"/>
          <w:sz w:val="24"/>
          <w:szCs w:val="24"/>
        </w:rPr>
        <w:t xml:space="preserve">Obrázek 15. </w:t>
      </w:r>
      <w:r>
        <w:rPr>
          <w:rFonts w:asciiTheme="majorHAnsi" w:hAnsiTheme="majorHAnsi" w:cstheme="majorHAnsi"/>
          <w:sz w:val="24"/>
          <w:szCs w:val="24"/>
        </w:rPr>
        <w:tab/>
      </w:r>
      <w:r w:rsidRPr="00251646">
        <w:rPr>
          <w:rFonts w:asciiTheme="majorHAnsi" w:hAnsiTheme="majorHAnsi" w:cstheme="majorHAnsi"/>
          <w:b/>
          <w:sz w:val="24"/>
          <w:szCs w:val="24"/>
        </w:rPr>
        <w:t>Pokoje – pohled do skříně</w:t>
      </w:r>
    </w:p>
    <w:p w:rsidR="002F754E" w:rsidRDefault="006E11B6" w:rsidP="00251646">
      <w:pPr>
        <w:rPr>
          <w:rFonts w:asciiTheme="majorHAnsi" w:hAnsiTheme="majorHAnsi"/>
          <w:sz w:val="24"/>
        </w:rPr>
      </w:pPr>
      <w:r w:rsidRPr="00DA0421">
        <w:rPr>
          <w:rFonts w:asciiTheme="majorHAnsi" w:hAnsiTheme="majorHAnsi" w:cstheme="majorHAnsi"/>
          <w:noProof/>
          <w:sz w:val="24"/>
          <w:szCs w:val="24"/>
          <w:lang w:eastAsia="cs-CZ"/>
        </w:rPr>
        <w:drawing>
          <wp:inline distT="0" distB="0" distL="0" distR="0">
            <wp:extent cx="2079728" cy="3600000"/>
            <wp:effectExtent l="0" t="0" r="0" b="635"/>
            <wp:docPr id="30" name="Obrázek 30" descr="20150812_1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812_105034"/>
                    <pic:cNvPicPr>
                      <a:picLocks noChangeAspect="1" noChangeArrowheads="1"/>
                    </pic:cNvPicPr>
                  </pic:nvPicPr>
                  <pic:blipFill>
                    <a:blip r:embed="rId35" cstate="print">
                      <a:extLst>
                        <a:ext uri="{28A0092B-C50C-407E-A947-70E740481C1C}">
                          <a14:useLocalDpi xmlns:a14="http://schemas.microsoft.com/office/drawing/2010/main" val="0"/>
                        </a:ext>
                      </a:extLst>
                    </a:blip>
                    <a:srcRect t="4352"/>
                    <a:stretch>
                      <a:fillRect/>
                    </a:stretch>
                  </pic:blipFill>
                  <pic:spPr bwMode="auto">
                    <a:xfrm>
                      <a:off x="0" y="0"/>
                      <a:ext cx="2079728"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F51B25" w:rsidRDefault="00F51B25" w:rsidP="002F754E">
      <w:pPr>
        <w:spacing w:after="0"/>
        <w:jc w:val="both"/>
        <w:rPr>
          <w:rFonts w:asciiTheme="majorHAnsi" w:hAnsiTheme="majorHAnsi"/>
          <w:sz w:val="24"/>
        </w:rPr>
      </w:pPr>
    </w:p>
    <w:p w:rsidR="0089491D" w:rsidRPr="002F754E" w:rsidRDefault="0089491D" w:rsidP="0089491D">
      <w:pPr>
        <w:rPr>
          <w:rFonts w:asciiTheme="majorHAnsi" w:hAnsiTheme="majorHAnsi"/>
          <w:sz w:val="24"/>
        </w:rPr>
      </w:pPr>
    </w:p>
    <w:sectPr w:rsidR="0089491D" w:rsidRPr="002F754E" w:rsidSect="0036399B">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615" w:rsidRDefault="00993615" w:rsidP="0036399B">
      <w:pPr>
        <w:spacing w:after="0" w:line="240" w:lineRule="auto"/>
      </w:pPr>
      <w:r>
        <w:separator/>
      </w:r>
    </w:p>
  </w:endnote>
  <w:endnote w:type="continuationSeparator" w:id="0">
    <w:p w:rsidR="00993615" w:rsidRDefault="00993615"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615" w:rsidRDefault="00993615" w:rsidP="0036399B">
      <w:pPr>
        <w:spacing w:after="0" w:line="240" w:lineRule="auto"/>
      </w:pPr>
      <w:r>
        <w:separator/>
      </w:r>
    </w:p>
  </w:footnote>
  <w:footnote w:type="continuationSeparator" w:id="0">
    <w:p w:rsidR="00993615" w:rsidRDefault="00993615"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6624C"/>
    <w:multiLevelType w:val="hybridMultilevel"/>
    <w:tmpl w:val="D8ACF1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5814A2D"/>
    <w:multiLevelType w:val="hybridMultilevel"/>
    <w:tmpl w:val="D8ACF1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B5DD8"/>
    <w:rsid w:val="001C1CC8"/>
    <w:rsid w:val="002140C5"/>
    <w:rsid w:val="00240CA6"/>
    <w:rsid w:val="00251646"/>
    <w:rsid w:val="002768BC"/>
    <w:rsid w:val="002C2314"/>
    <w:rsid w:val="002F754E"/>
    <w:rsid w:val="00315F86"/>
    <w:rsid w:val="00320B8B"/>
    <w:rsid w:val="0036399B"/>
    <w:rsid w:val="00413695"/>
    <w:rsid w:val="004519CB"/>
    <w:rsid w:val="004D349D"/>
    <w:rsid w:val="00590F2B"/>
    <w:rsid w:val="005910CA"/>
    <w:rsid w:val="005D1988"/>
    <w:rsid w:val="005E706C"/>
    <w:rsid w:val="005F7934"/>
    <w:rsid w:val="0063021A"/>
    <w:rsid w:val="00660644"/>
    <w:rsid w:val="006C07D5"/>
    <w:rsid w:val="006E11B6"/>
    <w:rsid w:val="006E2104"/>
    <w:rsid w:val="007C43D3"/>
    <w:rsid w:val="007E6431"/>
    <w:rsid w:val="00834AF7"/>
    <w:rsid w:val="008553BC"/>
    <w:rsid w:val="0089491D"/>
    <w:rsid w:val="008F0479"/>
    <w:rsid w:val="00931866"/>
    <w:rsid w:val="00993615"/>
    <w:rsid w:val="00AF4D3C"/>
    <w:rsid w:val="00BC6372"/>
    <w:rsid w:val="00CA4620"/>
    <w:rsid w:val="00CB52DD"/>
    <w:rsid w:val="00D07AD1"/>
    <w:rsid w:val="00D27F4D"/>
    <w:rsid w:val="00D525C3"/>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1311</Words>
  <Characters>7740</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14</cp:revision>
  <dcterms:created xsi:type="dcterms:W3CDTF">2018-08-27T10:48:00Z</dcterms:created>
  <dcterms:modified xsi:type="dcterms:W3CDTF">2019-03-14T10:29:00Z</dcterms:modified>
</cp:coreProperties>
</file>